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vertAnchor="page" w:horzAnchor="page" w:tblpX="646" w:tblpY="1010"/>
        <w:tblW w:w="23215" w:type="dxa"/>
        <w:tblLook w:val="04A0" w:firstRow="1" w:lastRow="0" w:firstColumn="1" w:lastColumn="0" w:noHBand="0" w:noVBand="1"/>
      </w:tblPr>
      <w:tblGrid>
        <w:gridCol w:w="706"/>
        <w:gridCol w:w="3249"/>
        <w:gridCol w:w="95"/>
        <w:gridCol w:w="2695"/>
        <w:gridCol w:w="2340"/>
        <w:gridCol w:w="2970"/>
        <w:gridCol w:w="2790"/>
        <w:gridCol w:w="8370"/>
      </w:tblGrid>
      <w:tr w:rsidR="00581ED5" w:rsidRPr="001E703B" w14:paraId="289ED4EA" w14:textId="77777777" w:rsidTr="00581ED5">
        <w:trPr>
          <w:trHeight w:val="533"/>
        </w:trPr>
        <w:tc>
          <w:tcPr>
            <w:tcW w:w="4050" w:type="dxa"/>
            <w:gridSpan w:val="3"/>
            <w:tcBorders>
              <w:bottom w:val="single" w:sz="4" w:space="0" w:color="auto"/>
            </w:tcBorders>
            <w:shd w:val="clear" w:color="auto" w:fill="6C6C6C" w:themeFill="background2" w:themeFillShade="80"/>
          </w:tcPr>
          <w:p w14:paraId="117AC900" w14:textId="77777777" w:rsidR="00581ED5" w:rsidRPr="00B95131" w:rsidRDefault="00581ED5" w:rsidP="00051F75">
            <w:pPr>
              <w:keepNext/>
              <w:outlineLvl w:val="0"/>
              <w:rPr>
                <w:rFonts w:asciiTheme="minorHAnsi" w:eastAsia="Tw Cen MT" w:hAnsiTheme="minorHAnsi" w:cstheme="minorHAnsi"/>
                <w:b/>
                <w:bCs/>
                <w:i/>
                <w:iCs/>
                <w:color w:val="FFFFFF" w:themeColor="background1"/>
                <w:sz w:val="32"/>
                <w:szCs w:val="10"/>
                <w:lang w:val="en-CA"/>
              </w:rPr>
            </w:pPr>
          </w:p>
        </w:tc>
        <w:tc>
          <w:tcPr>
            <w:tcW w:w="19165" w:type="dxa"/>
            <w:gridSpan w:val="5"/>
            <w:tcBorders>
              <w:bottom w:val="single" w:sz="4" w:space="0" w:color="auto"/>
            </w:tcBorders>
            <w:shd w:val="clear" w:color="auto" w:fill="6C6C6C" w:themeFill="background2" w:themeFillShade="80"/>
            <w:vAlign w:val="center"/>
          </w:tcPr>
          <w:p w14:paraId="3DD828B7" w14:textId="7AB87559" w:rsidR="00581ED5" w:rsidRPr="00592214" w:rsidRDefault="00581ED5" w:rsidP="00051F75">
            <w:pPr>
              <w:keepNext/>
              <w:outlineLvl w:val="0"/>
              <w:rPr>
                <w:rFonts w:asciiTheme="minorHAnsi" w:eastAsia="Tw Cen MT" w:hAnsiTheme="minorHAnsi" w:cstheme="minorHAnsi"/>
                <w:b/>
                <w:bCs/>
                <w:szCs w:val="10"/>
                <w:lang w:val="en-CA"/>
              </w:rPr>
            </w:pPr>
            <w:bookmarkStart w:id="0" w:name="_Hlk494268165"/>
            <w:r w:rsidRPr="00B95131">
              <w:rPr>
                <w:rFonts w:asciiTheme="minorHAnsi" w:eastAsia="Tw Cen MT" w:hAnsiTheme="minorHAnsi" w:cstheme="minorHAnsi"/>
                <w:b/>
                <w:bCs/>
                <w:i/>
                <w:iCs/>
                <w:color w:val="FFFFFF" w:themeColor="background1"/>
                <w:sz w:val="32"/>
                <w:szCs w:val="10"/>
                <w:lang w:val="en-CA"/>
              </w:rPr>
              <w:t>Water for Life</w:t>
            </w:r>
            <w:r>
              <w:rPr>
                <w:rFonts w:asciiTheme="minorHAnsi" w:eastAsia="Tw Cen MT" w:hAnsiTheme="minorHAnsi" w:cstheme="minorHAnsi"/>
                <w:b/>
                <w:bCs/>
                <w:color w:val="FFFFFF" w:themeColor="background1"/>
                <w:sz w:val="32"/>
                <w:szCs w:val="10"/>
                <w:lang w:val="en-CA"/>
              </w:rPr>
              <w:t xml:space="preserve"> Implementation Review 2016-2019 (2021)</w:t>
            </w:r>
          </w:p>
        </w:tc>
      </w:tr>
      <w:tr w:rsidR="00581ED5" w:rsidRPr="001E703B" w14:paraId="565FA07C" w14:textId="77777777" w:rsidTr="00581ED5">
        <w:trPr>
          <w:trHeight w:val="623"/>
        </w:trPr>
        <w:tc>
          <w:tcPr>
            <w:tcW w:w="706" w:type="dxa"/>
            <w:tcBorders>
              <w:bottom w:val="double" w:sz="4" w:space="0" w:color="auto"/>
            </w:tcBorders>
            <w:shd w:val="clear" w:color="auto" w:fill="D8D8D8" w:themeFill="background2"/>
            <w:vAlign w:val="center"/>
          </w:tcPr>
          <w:p w14:paraId="705AE614" w14:textId="131724EB" w:rsidR="00581ED5" w:rsidRPr="001E703B" w:rsidRDefault="00581ED5" w:rsidP="00C730EA">
            <w:pPr>
              <w:jc w:val="center"/>
              <w:rPr>
                <w:rFonts w:asciiTheme="minorHAnsi" w:hAnsiTheme="minorHAnsi" w:cstheme="minorHAnsi"/>
              </w:rPr>
            </w:pPr>
            <w:r w:rsidRPr="00FC1767">
              <w:rPr>
                <w:rFonts w:asciiTheme="minorHAnsi" w:hAnsiTheme="minorHAnsi" w:cstheme="minorHAnsi"/>
                <w:b/>
              </w:rPr>
              <w:t>Rec #</w:t>
            </w:r>
          </w:p>
        </w:tc>
        <w:tc>
          <w:tcPr>
            <w:tcW w:w="3249" w:type="dxa"/>
            <w:tcBorders>
              <w:bottom w:val="double" w:sz="4" w:space="0" w:color="auto"/>
            </w:tcBorders>
            <w:shd w:val="clear" w:color="auto" w:fill="D8D8D8" w:themeFill="background2"/>
            <w:vAlign w:val="center"/>
          </w:tcPr>
          <w:p w14:paraId="6A397BA2" w14:textId="06DFBEB5" w:rsidR="00581ED5" w:rsidRPr="001E703B" w:rsidRDefault="00581ED5" w:rsidP="00C730EA">
            <w:pPr>
              <w:jc w:val="center"/>
              <w:rPr>
                <w:rFonts w:asciiTheme="minorHAnsi" w:hAnsiTheme="minorHAnsi" w:cstheme="minorHAnsi"/>
              </w:rPr>
            </w:pPr>
            <w:r w:rsidRPr="00FC1767">
              <w:rPr>
                <w:rFonts w:asciiTheme="minorHAnsi" w:hAnsiTheme="minorHAnsi" w:cstheme="minorHAnsi"/>
                <w:b/>
              </w:rPr>
              <w:t>Recommendation</w:t>
            </w:r>
          </w:p>
        </w:tc>
        <w:tc>
          <w:tcPr>
            <w:tcW w:w="2790" w:type="dxa"/>
            <w:gridSpan w:val="2"/>
            <w:tcBorders>
              <w:bottom w:val="double" w:sz="4" w:space="0" w:color="auto"/>
            </w:tcBorders>
            <w:shd w:val="clear" w:color="auto" w:fill="D8D8D8" w:themeFill="background2"/>
            <w:vAlign w:val="center"/>
          </w:tcPr>
          <w:p w14:paraId="3A48E51F" w14:textId="37C34A43" w:rsidR="00581ED5" w:rsidRPr="001E703B" w:rsidRDefault="00581ED5" w:rsidP="00C730EA">
            <w:pPr>
              <w:jc w:val="center"/>
              <w:rPr>
                <w:rFonts w:asciiTheme="minorHAnsi" w:hAnsiTheme="minorHAnsi" w:cstheme="minorHAnsi"/>
              </w:rPr>
            </w:pPr>
            <w:r w:rsidRPr="00FC1767">
              <w:rPr>
                <w:rFonts w:asciiTheme="minorHAnsi" w:hAnsiTheme="minorHAnsi" w:cstheme="minorHAnsi"/>
                <w:b/>
              </w:rPr>
              <w:t>Implementer(s)</w:t>
            </w:r>
          </w:p>
        </w:tc>
        <w:tc>
          <w:tcPr>
            <w:tcW w:w="2340" w:type="dxa"/>
            <w:tcBorders>
              <w:bottom w:val="double" w:sz="4" w:space="0" w:color="auto"/>
            </w:tcBorders>
            <w:shd w:val="clear" w:color="auto" w:fill="D8D8D8" w:themeFill="background2"/>
            <w:vAlign w:val="center"/>
          </w:tcPr>
          <w:p w14:paraId="198AA5FD" w14:textId="04B21EB2" w:rsidR="00581ED5" w:rsidRPr="001E703B" w:rsidRDefault="00581ED5" w:rsidP="00C730EA">
            <w:pPr>
              <w:jc w:val="center"/>
              <w:rPr>
                <w:rFonts w:asciiTheme="minorHAnsi" w:hAnsiTheme="minorHAnsi" w:cstheme="minorHAnsi"/>
              </w:rPr>
            </w:pPr>
            <w:r w:rsidRPr="00FC1767">
              <w:rPr>
                <w:rFonts w:asciiTheme="minorHAnsi" w:hAnsiTheme="minorHAnsi" w:cstheme="minorHAnsi"/>
                <w:b/>
              </w:rPr>
              <w:t>Implementation Target</w:t>
            </w:r>
          </w:p>
        </w:tc>
        <w:tc>
          <w:tcPr>
            <w:tcW w:w="2970" w:type="dxa"/>
            <w:tcBorders>
              <w:bottom w:val="double" w:sz="4" w:space="0" w:color="auto"/>
            </w:tcBorders>
            <w:shd w:val="clear" w:color="auto" w:fill="D8D8D8" w:themeFill="background2"/>
            <w:vAlign w:val="center"/>
          </w:tcPr>
          <w:p w14:paraId="4FA6B0E2" w14:textId="21340A07" w:rsidR="00581ED5" w:rsidRPr="001E703B" w:rsidRDefault="00DE423A" w:rsidP="00C730EA">
            <w:pPr>
              <w:jc w:val="center"/>
              <w:rPr>
                <w:rFonts w:asciiTheme="minorHAnsi" w:hAnsiTheme="minorHAnsi" w:cstheme="minorHAnsi"/>
              </w:rPr>
            </w:pPr>
            <w:r>
              <w:rPr>
                <w:rFonts w:asciiTheme="minorHAnsi" w:hAnsiTheme="minorHAnsi" w:cstheme="minorHAnsi"/>
                <w:b/>
              </w:rPr>
              <w:t xml:space="preserve">Last </w:t>
            </w:r>
            <w:r w:rsidR="00581ED5">
              <w:rPr>
                <w:rFonts w:asciiTheme="minorHAnsi" w:hAnsiTheme="minorHAnsi" w:cstheme="minorHAnsi"/>
                <w:b/>
              </w:rPr>
              <w:t>Update</w:t>
            </w:r>
          </w:p>
        </w:tc>
        <w:tc>
          <w:tcPr>
            <w:tcW w:w="2790" w:type="dxa"/>
            <w:tcBorders>
              <w:bottom w:val="double" w:sz="4" w:space="0" w:color="auto"/>
            </w:tcBorders>
            <w:shd w:val="clear" w:color="auto" w:fill="D8D8D8" w:themeFill="background2"/>
          </w:tcPr>
          <w:p w14:paraId="2B458D86" w14:textId="0AD79EEB" w:rsidR="00581ED5" w:rsidRPr="00FC1767" w:rsidRDefault="00581ED5" w:rsidP="00B95131">
            <w:pPr>
              <w:jc w:val="center"/>
              <w:rPr>
                <w:rFonts w:asciiTheme="minorHAnsi" w:hAnsiTheme="minorHAnsi" w:cstheme="minorHAnsi"/>
                <w:b/>
              </w:rPr>
            </w:pPr>
            <w:r>
              <w:rPr>
                <w:rFonts w:asciiTheme="minorHAnsi" w:hAnsiTheme="minorHAnsi" w:cstheme="minorHAnsi"/>
                <w:b/>
              </w:rPr>
              <w:t>2023 Update</w:t>
            </w:r>
          </w:p>
        </w:tc>
        <w:tc>
          <w:tcPr>
            <w:tcW w:w="8370" w:type="dxa"/>
            <w:tcBorders>
              <w:bottom w:val="double" w:sz="4" w:space="0" w:color="auto"/>
            </w:tcBorders>
            <w:shd w:val="clear" w:color="auto" w:fill="D8D8D8" w:themeFill="background2"/>
            <w:vAlign w:val="center"/>
          </w:tcPr>
          <w:p w14:paraId="48DCB6DA" w14:textId="2E7DCD9B" w:rsidR="00581ED5" w:rsidRPr="001E703B" w:rsidRDefault="00581ED5" w:rsidP="00B95131">
            <w:pPr>
              <w:jc w:val="center"/>
              <w:rPr>
                <w:rFonts w:asciiTheme="minorHAnsi" w:hAnsiTheme="minorHAnsi" w:cstheme="minorHAnsi"/>
              </w:rPr>
            </w:pPr>
            <w:r w:rsidRPr="00FC1767">
              <w:rPr>
                <w:rFonts w:asciiTheme="minorHAnsi" w:hAnsiTheme="minorHAnsi" w:cstheme="minorHAnsi"/>
                <w:b/>
              </w:rPr>
              <w:t>Comments</w:t>
            </w:r>
            <w:r>
              <w:rPr>
                <w:rFonts w:asciiTheme="minorHAnsi" w:hAnsiTheme="minorHAnsi" w:cstheme="minorHAnsi"/>
                <w:b/>
              </w:rPr>
              <w:t xml:space="preserve"> </w:t>
            </w:r>
          </w:p>
        </w:tc>
      </w:tr>
      <w:tr w:rsidR="00581ED5" w:rsidRPr="001E703B" w14:paraId="61C1CE8B" w14:textId="77777777" w:rsidTr="00581ED5">
        <w:trPr>
          <w:trHeight w:val="623"/>
        </w:trPr>
        <w:tc>
          <w:tcPr>
            <w:tcW w:w="706" w:type="dxa"/>
            <w:tcBorders>
              <w:bottom w:val="double" w:sz="4" w:space="0" w:color="auto"/>
            </w:tcBorders>
            <w:shd w:val="clear" w:color="auto" w:fill="D8D8D8" w:themeFill="background2"/>
            <w:vAlign w:val="center"/>
          </w:tcPr>
          <w:p w14:paraId="79F3436A" w14:textId="77777777" w:rsidR="00581ED5" w:rsidRPr="001E703B" w:rsidRDefault="00581ED5" w:rsidP="00C730EA">
            <w:pPr>
              <w:jc w:val="center"/>
              <w:rPr>
                <w:rFonts w:asciiTheme="minorHAnsi" w:hAnsiTheme="minorHAnsi" w:cstheme="minorHAnsi"/>
              </w:rPr>
            </w:pPr>
          </w:p>
        </w:tc>
        <w:tc>
          <w:tcPr>
            <w:tcW w:w="3249" w:type="dxa"/>
            <w:tcBorders>
              <w:bottom w:val="double" w:sz="4" w:space="0" w:color="auto"/>
            </w:tcBorders>
            <w:shd w:val="clear" w:color="auto" w:fill="D8D8D8" w:themeFill="background2"/>
            <w:vAlign w:val="center"/>
          </w:tcPr>
          <w:p w14:paraId="046E3A04" w14:textId="77777777" w:rsidR="00581ED5" w:rsidRPr="001E703B" w:rsidRDefault="00581ED5" w:rsidP="00C730EA">
            <w:pPr>
              <w:jc w:val="center"/>
              <w:rPr>
                <w:rFonts w:asciiTheme="minorHAnsi" w:hAnsiTheme="minorHAnsi" w:cstheme="minorHAnsi"/>
              </w:rPr>
            </w:pPr>
          </w:p>
        </w:tc>
        <w:tc>
          <w:tcPr>
            <w:tcW w:w="2790" w:type="dxa"/>
            <w:gridSpan w:val="2"/>
            <w:tcBorders>
              <w:bottom w:val="double" w:sz="4" w:space="0" w:color="auto"/>
            </w:tcBorders>
            <w:shd w:val="clear" w:color="auto" w:fill="D8D8D8" w:themeFill="background2"/>
            <w:vAlign w:val="center"/>
          </w:tcPr>
          <w:p w14:paraId="13B44C5A" w14:textId="5AC51F12" w:rsidR="00581ED5" w:rsidRPr="001E703B" w:rsidRDefault="00581ED5" w:rsidP="00C730EA">
            <w:pPr>
              <w:jc w:val="center"/>
              <w:rPr>
                <w:rFonts w:asciiTheme="minorHAnsi" w:hAnsiTheme="minorHAnsi" w:cstheme="minorHAnsi"/>
              </w:rPr>
            </w:pPr>
          </w:p>
        </w:tc>
        <w:tc>
          <w:tcPr>
            <w:tcW w:w="2340" w:type="dxa"/>
            <w:tcBorders>
              <w:bottom w:val="double" w:sz="4" w:space="0" w:color="auto"/>
            </w:tcBorders>
            <w:shd w:val="clear" w:color="auto" w:fill="D8D8D8" w:themeFill="background2"/>
            <w:vAlign w:val="center"/>
          </w:tcPr>
          <w:p w14:paraId="06E1C236" w14:textId="77777777" w:rsidR="00581ED5" w:rsidRPr="001E703B" w:rsidRDefault="00581ED5" w:rsidP="00C730EA">
            <w:pPr>
              <w:jc w:val="center"/>
              <w:rPr>
                <w:rFonts w:asciiTheme="minorHAnsi" w:hAnsiTheme="minorHAnsi" w:cstheme="minorHAnsi"/>
              </w:rPr>
            </w:pPr>
          </w:p>
        </w:tc>
        <w:tc>
          <w:tcPr>
            <w:tcW w:w="2970" w:type="dxa"/>
            <w:tcBorders>
              <w:bottom w:val="double" w:sz="4" w:space="0" w:color="auto"/>
            </w:tcBorders>
            <w:shd w:val="clear" w:color="auto" w:fill="D8D8D8" w:themeFill="background2"/>
            <w:vAlign w:val="center"/>
          </w:tcPr>
          <w:p w14:paraId="571953F6" w14:textId="77777777" w:rsidR="00581ED5" w:rsidRPr="001E703B" w:rsidRDefault="00581ED5" w:rsidP="00C730EA">
            <w:pPr>
              <w:jc w:val="center"/>
              <w:rPr>
                <w:rFonts w:asciiTheme="minorHAnsi" w:hAnsiTheme="minorHAnsi" w:cstheme="minorHAnsi"/>
              </w:rPr>
            </w:pPr>
          </w:p>
        </w:tc>
        <w:tc>
          <w:tcPr>
            <w:tcW w:w="2790" w:type="dxa"/>
            <w:tcBorders>
              <w:bottom w:val="double" w:sz="4" w:space="0" w:color="auto"/>
            </w:tcBorders>
            <w:shd w:val="clear" w:color="auto" w:fill="D8D8D8" w:themeFill="background2"/>
          </w:tcPr>
          <w:p w14:paraId="5D5F7F29" w14:textId="77777777" w:rsidR="00581ED5" w:rsidRPr="001E7994" w:rsidRDefault="00581ED5" w:rsidP="00C730EA">
            <w:pPr>
              <w:rPr>
                <w:b/>
                <w:bCs/>
                <w:sz w:val="20"/>
                <w:szCs w:val="20"/>
              </w:rPr>
            </w:pPr>
          </w:p>
        </w:tc>
        <w:tc>
          <w:tcPr>
            <w:tcW w:w="8370" w:type="dxa"/>
            <w:tcBorders>
              <w:bottom w:val="double" w:sz="4" w:space="0" w:color="auto"/>
            </w:tcBorders>
            <w:shd w:val="clear" w:color="auto" w:fill="D8D8D8" w:themeFill="background2"/>
            <w:vAlign w:val="center"/>
          </w:tcPr>
          <w:p w14:paraId="16D94FAC" w14:textId="26531BD5" w:rsidR="00581ED5" w:rsidRPr="001E7994" w:rsidRDefault="00581ED5" w:rsidP="00C730EA">
            <w:pPr>
              <w:rPr>
                <w:b/>
                <w:bCs/>
                <w:sz w:val="20"/>
                <w:szCs w:val="20"/>
              </w:rPr>
            </w:pPr>
            <w:r w:rsidRPr="001E7994">
              <w:rPr>
                <w:b/>
                <w:bCs/>
                <w:sz w:val="20"/>
                <w:szCs w:val="20"/>
              </w:rPr>
              <w:t>General Comments:</w:t>
            </w:r>
          </w:p>
          <w:p w14:paraId="4E13F89A" w14:textId="2569F9A6" w:rsidR="00581ED5" w:rsidRPr="001E7994" w:rsidRDefault="00581ED5" w:rsidP="00B95131">
            <w:pPr>
              <w:rPr>
                <w:sz w:val="20"/>
                <w:szCs w:val="18"/>
              </w:rPr>
            </w:pPr>
            <w:r w:rsidRPr="0055436A">
              <w:rPr>
                <w:sz w:val="20"/>
                <w:szCs w:val="18"/>
              </w:rPr>
              <w:t>Government of Alberta:</w:t>
            </w:r>
            <w:r>
              <w:rPr>
                <w:i/>
                <w:iCs/>
                <w:sz w:val="20"/>
                <w:szCs w:val="18"/>
              </w:rPr>
              <w:t xml:space="preserve"> </w:t>
            </w:r>
            <w:r w:rsidRPr="001E7994">
              <w:rPr>
                <w:i/>
                <w:iCs/>
                <w:sz w:val="20"/>
                <w:szCs w:val="18"/>
              </w:rPr>
              <w:t>Water for Life</w:t>
            </w:r>
            <w:r w:rsidRPr="001E7994">
              <w:rPr>
                <w:sz w:val="20"/>
                <w:szCs w:val="18"/>
              </w:rPr>
              <w:t xml:space="preserve"> remains to be the overarching strategy for water in Alberta to ensure safe, secure drinking water, healthy aquatic ecosystems, and reliable, quality water supplies for a sustainable economy. The Government of Alberta continues to develop, adopt, and promote a watershed, risk‐based, source‐to‐tap drinking water management approach that focuses on integrated watershed and land use planning, effective monitoring and compliance of point and non‐point source pollution, efficient and effective water distribution systems, and healthy aquatic ecosystems.</w:t>
            </w:r>
          </w:p>
          <w:p w14:paraId="01B6ED7F" w14:textId="0527015B" w:rsidR="00581ED5" w:rsidRPr="001E703B" w:rsidRDefault="00581ED5" w:rsidP="00B95131">
            <w:pPr>
              <w:rPr>
                <w:rFonts w:asciiTheme="minorHAnsi" w:hAnsiTheme="minorHAnsi" w:cstheme="minorHAnsi"/>
              </w:rPr>
            </w:pPr>
          </w:p>
        </w:tc>
      </w:tr>
      <w:tr w:rsidR="00581ED5" w:rsidRPr="001E703B" w14:paraId="5835CB52" w14:textId="77777777" w:rsidTr="00E16573">
        <w:tc>
          <w:tcPr>
            <w:tcW w:w="706" w:type="dxa"/>
            <w:tcBorders>
              <w:top w:val="double" w:sz="4" w:space="0" w:color="auto"/>
            </w:tcBorders>
          </w:tcPr>
          <w:p w14:paraId="1ED7BD4A" w14:textId="77777777" w:rsidR="00581ED5" w:rsidRDefault="00581ED5" w:rsidP="00B95131">
            <w:pPr>
              <w:shd w:val="clear" w:color="auto" w:fill="FFFFFF" w:themeFill="background1"/>
              <w:jc w:val="center"/>
            </w:pPr>
            <w:r w:rsidRPr="001E703B">
              <w:t>1</w:t>
            </w:r>
          </w:p>
          <w:p w14:paraId="2D9CA657" w14:textId="680EE799" w:rsidR="00581ED5" w:rsidRPr="001E703B" w:rsidRDefault="00581ED5" w:rsidP="00B95131">
            <w:pPr>
              <w:shd w:val="clear" w:color="auto" w:fill="FFFFFF" w:themeFill="background1"/>
              <w:jc w:val="center"/>
            </w:pPr>
          </w:p>
        </w:tc>
        <w:tc>
          <w:tcPr>
            <w:tcW w:w="3249" w:type="dxa"/>
            <w:tcBorders>
              <w:top w:val="double" w:sz="4" w:space="0" w:color="auto"/>
            </w:tcBorders>
          </w:tcPr>
          <w:p w14:paraId="302D347C" w14:textId="77777777" w:rsidR="00581ED5" w:rsidRDefault="00581ED5" w:rsidP="00B95131">
            <w:pPr>
              <w:shd w:val="clear" w:color="auto" w:fill="FFFFFF" w:themeFill="background1"/>
              <w:rPr>
                <w:sz w:val="20"/>
              </w:rPr>
            </w:pPr>
            <w:r w:rsidRPr="00B95131">
              <w:rPr>
                <w:sz w:val="20"/>
              </w:rPr>
              <w:t xml:space="preserve">New </w:t>
            </w:r>
            <w:r w:rsidRPr="00B95131">
              <w:rPr>
                <w:i/>
                <w:iCs/>
                <w:sz w:val="20"/>
              </w:rPr>
              <w:t>Water for Life</w:t>
            </w:r>
            <w:r w:rsidRPr="00B95131">
              <w:rPr>
                <w:sz w:val="20"/>
              </w:rPr>
              <w:t xml:space="preserve"> Action Plan </w:t>
            </w:r>
          </w:p>
          <w:p w14:paraId="79F8DA1E" w14:textId="77777777" w:rsidR="00581ED5" w:rsidRDefault="00581ED5" w:rsidP="00B95131">
            <w:pPr>
              <w:shd w:val="clear" w:color="auto" w:fill="FFFFFF" w:themeFill="background1"/>
              <w:rPr>
                <w:sz w:val="20"/>
              </w:rPr>
            </w:pPr>
            <w:r w:rsidRPr="00B95131">
              <w:rPr>
                <w:sz w:val="20"/>
              </w:rPr>
              <w:t xml:space="preserve">That the AWC collaborate with its partners and stakeholders to identify, by 2024, current work, information, challenges, and opportunities, that could be used to inform any development of a new 10-year action plan to achieve </w:t>
            </w:r>
            <w:r w:rsidRPr="00794216">
              <w:rPr>
                <w:i/>
                <w:iCs/>
                <w:sz w:val="20"/>
              </w:rPr>
              <w:t>Water for Life</w:t>
            </w:r>
            <w:r w:rsidRPr="00B95131">
              <w:rPr>
                <w:sz w:val="20"/>
              </w:rPr>
              <w:t xml:space="preserve"> goals and key directions and how the Water for Life partnerships can support plan implementation.</w:t>
            </w:r>
          </w:p>
          <w:p w14:paraId="4C3D7B6A" w14:textId="5E017BD7" w:rsidR="00581ED5" w:rsidRPr="001E703B" w:rsidRDefault="00581ED5" w:rsidP="00B95131">
            <w:pPr>
              <w:shd w:val="clear" w:color="auto" w:fill="FFFFFF" w:themeFill="background1"/>
              <w:rPr>
                <w:sz w:val="20"/>
              </w:rPr>
            </w:pPr>
          </w:p>
        </w:tc>
        <w:tc>
          <w:tcPr>
            <w:tcW w:w="2790" w:type="dxa"/>
            <w:gridSpan w:val="2"/>
            <w:tcBorders>
              <w:top w:val="double" w:sz="4" w:space="0" w:color="auto"/>
            </w:tcBorders>
          </w:tcPr>
          <w:p w14:paraId="6DB46B92" w14:textId="70EA5570" w:rsidR="00581ED5" w:rsidRPr="001E703B" w:rsidRDefault="00581ED5" w:rsidP="00B95131">
            <w:pPr>
              <w:shd w:val="clear" w:color="auto" w:fill="FFFFFF" w:themeFill="background1"/>
              <w:rPr>
                <w:szCs w:val="24"/>
              </w:rPr>
            </w:pPr>
            <w:r>
              <w:rPr>
                <w:szCs w:val="24"/>
              </w:rPr>
              <w:t>Alberta Water Council</w:t>
            </w:r>
          </w:p>
        </w:tc>
        <w:tc>
          <w:tcPr>
            <w:tcW w:w="2340" w:type="dxa"/>
            <w:tcBorders>
              <w:top w:val="double" w:sz="4" w:space="0" w:color="auto"/>
            </w:tcBorders>
          </w:tcPr>
          <w:p w14:paraId="3D8FA69E" w14:textId="142D107A" w:rsidR="00581ED5" w:rsidRPr="001E703B" w:rsidRDefault="00581ED5" w:rsidP="00C35925">
            <w:pPr>
              <w:shd w:val="clear" w:color="auto" w:fill="FFFFFF" w:themeFill="background1"/>
              <w:jc w:val="center"/>
              <w:rPr>
                <w:szCs w:val="24"/>
              </w:rPr>
            </w:pPr>
            <w:r>
              <w:rPr>
                <w:szCs w:val="24"/>
              </w:rPr>
              <w:t>2024</w:t>
            </w:r>
          </w:p>
        </w:tc>
        <w:tc>
          <w:tcPr>
            <w:tcW w:w="2970" w:type="dxa"/>
            <w:tcBorders>
              <w:top w:val="double" w:sz="4" w:space="0" w:color="auto"/>
            </w:tcBorders>
            <w:shd w:val="clear" w:color="auto" w:fill="B8D779" w:themeFill="accent4" w:themeFillTint="99"/>
          </w:tcPr>
          <w:p w14:paraId="1ED3ACD2" w14:textId="43F6EAD0" w:rsidR="00581ED5" w:rsidRPr="00794216" w:rsidRDefault="00581ED5" w:rsidP="00B95131">
            <w:pPr>
              <w:shd w:val="clear" w:color="auto" w:fill="FFFFFF" w:themeFill="background1"/>
              <w:jc w:val="center"/>
            </w:pPr>
            <w:r w:rsidRPr="00794216">
              <w:t>Pending – to be completed</w:t>
            </w:r>
          </w:p>
        </w:tc>
        <w:tc>
          <w:tcPr>
            <w:tcW w:w="2790" w:type="dxa"/>
            <w:tcBorders>
              <w:top w:val="double" w:sz="4" w:space="0" w:color="auto"/>
            </w:tcBorders>
            <w:shd w:val="clear" w:color="auto" w:fill="B8D779" w:themeFill="accent4" w:themeFillTint="99"/>
          </w:tcPr>
          <w:p w14:paraId="58CB0991" w14:textId="3EFA228D" w:rsidR="00581ED5" w:rsidRDefault="00E16573" w:rsidP="00B95131">
            <w:pPr>
              <w:shd w:val="clear" w:color="auto" w:fill="FFFFFF" w:themeFill="background1"/>
              <w:rPr>
                <w:sz w:val="20"/>
              </w:rPr>
            </w:pPr>
            <w:r w:rsidRPr="00E16573">
              <w:rPr>
                <w:szCs w:val="28"/>
              </w:rPr>
              <w:t>Pending – to be completed</w:t>
            </w:r>
          </w:p>
        </w:tc>
        <w:tc>
          <w:tcPr>
            <w:tcW w:w="8370" w:type="dxa"/>
            <w:tcBorders>
              <w:top w:val="double" w:sz="4" w:space="0" w:color="auto"/>
            </w:tcBorders>
          </w:tcPr>
          <w:p w14:paraId="2B06D6B7" w14:textId="12EB9AB2" w:rsidR="00B27C4A" w:rsidRDefault="00B27C4A" w:rsidP="00B27C4A">
            <w:pPr>
              <w:shd w:val="clear" w:color="auto" w:fill="FFFFFF" w:themeFill="background1"/>
              <w:rPr>
                <w:sz w:val="20"/>
              </w:rPr>
            </w:pPr>
            <w:r>
              <w:rPr>
                <w:sz w:val="20"/>
              </w:rPr>
              <w:t xml:space="preserve">In 2021, a statement of opportunity was submitted by the GoA for the AWC to consider work in this area. The AWC approved launching a working group to scope terms of reference for a project team inform the GoA’s efforts to develop the next iteration of the </w:t>
            </w:r>
            <w:r w:rsidRPr="00794216">
              <w:rPr>
                <w:i/>
                <w:iCs/>
                <w:sz w:val="20"/>
              </w:rPr>
              <w:t>Water for Life</w:t>
            </w:r>
            <w:r>
              <w:rPr>
                <w:sz w:val="20"/>
              </w:rPr>
              <w:t xml:space="preserve"> Action Plan. The project team started work shortly after and sectors worked for months to draft and vet potential actions for the plan. Because of the provincial elections, there was a delay in moving ahead with this important work. However, sectors remain committed, and the project timeline was extended by the AWC board to June 2024.</w:t>
            </w:r>
          </w:p>
          <w:p w14:paraId="3999B15B" w14:textId="63D9BC35" w:rsidR="00581ED5" w:rsidRPr="001E703B" w:rsidRDefault="00581ED5" w:rsidP="00B95131">
            <w:pPr>
              <w:shd w:val="clear" w:color="auto" w:fill="FFFFFF" w:themeFill="background1"/>
              <w:rPr>
                <w:sz w:val="20"/>
                <w:szCs w:val="20"/>
              </w:rPr>
            </w:pPr>
          </w:p>
        </w:tc>
      </w:tr>
      <w:tr w:rsidR="00581ED5" w:rsidRPr="001E703B" w14:paraId="2413DC3C" w14:textId="77777777" w:rsidTr="00E16573">
        <w:tc>
          <w:tcPr>
            <w:tcW w:w="706" w:type="dxa"/>
            <w:shd w:val="clear" w:color="auto" w:fill="FFFFFF"/>
          </w:tcPr>
          <w:p w14:paraId="22C5EBC5" w14:textId="77777777" w:rsidR="00581ED5" w:rsidRPr="001E703B" w:rsidRDefault="00581ED5" w:rsidP="00B95131">
            <w:pPr>
              <w:shd w:val="clear" w:color="auto" w:fill="FFFFFF" w:themeFill="background1"/>
              <w:jc w:val="center"/>
            </w:pPr>
            <w:r w:rsidRPr="001E703B">
              <w:t>2</w:t>
            </w:r>
          </w:p>
        </w:tc>
        <w:tc>
          <w:tcPr>
            <w:tcW w:w="3249" w:type="dxa"/>
            <w:shd w:val="clear" w:color="auto" w:fill="FFFFFF"/>
          </w:tcPr>
          <w:p w14:paraId="1AAF05F2" w14:textId="77777777" w:rsidR="00581ED5" w:rsidRDefault="00581ED5" w:rsidP="00B95131">
            <w:pPr>
              <w:shd w:val="clear" w:color="auto" w:fill="FFFFFF" w:themeFill="background1"/>
              <w:rPr>
                <w:sz w:val="20"/>
              </w:rPr>
            </w:pPr>
            <w:r w:rsidRPr="00B95131">
              <w:rPr>
                <w:sz w:val="20"/>
              </w:rPr>
              <w:t xml:space="preserve">Improved </w:t>
            </w:r>
            <w:r w:rsidRPr="00B95131">
              <w:rPr>
                <w:i/>
                <w:iCs/>
                <w:sz w:val="20"/>
              </w:rPr>
              <w:t>Water for Life</w:t>
            </w:r>
            <w:r w:rsidRPr="00B95131">
              <w:rPr>
                <w:sz w:val="20"/>
              </w:rPr>
              <w:t xml:space="preserve"> Reviews </w:t>
            </w:r>
          </w:p>
          <w:p w14:paraId="63647748" w14:textId="2F884AEC" w:rsidR="00581ED5" w:rsidRDefault="00581ED5" w:rsidP="00B95131">
            <w:pPr>
              <w:shd w:val="clear" w:color="auto" w:fill="FFFFFF" w:themeFill="background1"/>
              <w:rPr>
                <w:sz w:val="20"/>
              </w:rPr>
            </w:pPr>
            <w:r w:rsidRPr="00B95131">
              <w:rPr>
                <w:sz w:val="20"/>
              </w:rPr>
              <w:t xml:space="preserve">That the AWC improve future </w:t>
            </w:r>
            <w:r w:rsidRPr="007054C7">
              <w:rPr>
                <w:i/>
                <w:iCs/>
                <w:sz w:val="20"/>
              </w:rPr>
              <w:t>Water for Life</w:t>
            </w:r>
            <w:r w:rsidRPr="00B95131">
              <w:rPr>
                <w:sz w:val="20"/>
              </w:rPr>
              <w:t xml:space="preserve"> assessments by using performance indicators where applicable and feasible, and which may be adjusted from time to time, implementing a schedule of reporting and periodically producing more comprehensive reviews of individual Water for Life elements.</w:t>
            </w:r>
          </w:p>
          <w:p w14:paraId="1DF2BC63" w14:textId="1E19EB4C" w:rsidR="00581ED5" w:rsidRPr="001E703B" w:rsidRDefault="00581ED5" w:rsidP="00B95131">
            <w:pPr>
              <w:shd w:val="clear" w:color="auto" w:fill="FFFFFF" w:themeFill="background1"/>
              <w:rPr>
                <w:sz w:val="20"/>
              </w:rPr>
            </w:pPr>
          </w:p>
        </w:tc>
        <w:tc>
          <w:tcPr>
            <w:tcW w:w="2790" w:type="dxa"/>
            <w:gridSpan w:val="2"/>
            <w:shd w:val="clear" w:color="auto" w:fill="FFFFFF"/>
          </w:tcPr>
          <w:p w14:paraId="0431D0F3" w14:textId="79616BB4" w:rsidR="00581ED5" w:rsidRPr="001E703B" w:rsidRDefault="00581ED5" w:rsidP="00B95131">
            <w:pPr>
              <w:shd w:val="clear" w:color="auto" w:fill="FFFFFF" w:themeFill="background1"/>
              <w:rPr>
                <w:szCs w:val="24"/>
              </w:rPr>
            </w:pPr>
            <w:r>
              <w:rPr>
                <w:szCs w:val="24"/>
              </w:rPr>
              <w:t xml:space="preserve">Alberta Water Council </w:t>
            </w:r>
          </w:p>
        </w:tc>
        <w:tc>
          <w:tcPr>
            <w:tcW w:w="2340" w:type="dxa"/>
            <w:shd w:val="clear" w:color="auto" w:fill="FFFFFF"/>
          </w:tcPr>
          <w:p w14:paraId="0629A97C" w14:textId="52017CB4" w:rsidR="00581ED5" w:rsidRPr="001E703B" w:rsidRDefault="00581ED5" w:rsidP="00C35925">
            <w:pPr>
              <w:shd w:val="clear" w:color="auto" w:fill="FFFFFF" w:themeFill="background1"/>
              <w:jc w:val="center"/>
              <w:rPr>
                <w:szCs w:val="24"/>
              </w:rPr>
            </w:pPr>
            <w:r>
              <w:rPr>
                <w:szCs w:val="24"/>
              </w:rPr>
              <w:t>Ongoing long-term</w:t>
            </w:r>
          </w:p>
        </w:tc>
        <w:tc>
          <w:tcPr>
            <w:tcW w:w="2970" w:type="dxa"/>
            <w:shd w:val="clear" w:color="auto" w:fill="B8D779" w:themeFill="accent4" w:themeFillTint="99"/>
          </w:tcPr>
          <w:p w14:paraId="4C26E2A4" w14:textId="4FC38846" w:rsidR="00581ED5" w:rsidRPr="00794216" w:rsidRDefault="00581ED5" w:rsidP="00B95131">
            <w:pPr>
              <w:shd w:val="clear" w:color="auto" w:fill="FFFFFF" w:themeFill="background1"/>
              <w:jc w:val="center"/>
            </w:pPr>
            <w:r w:rsidRPr="00794216">
              <w:t>Pending – to be completed</w:t>
            </w:r>
          </w:p>
        </w:tc>
        <w:tc>
          <w:tcPr>
            <w:tcW w:w="2790" w:type="dxa"/>
            <w:shd w:val="clear" w:color="auto" w:fill="B8D779" w:themeFill="accent4" w:themeFillTint="99"/>
          </w:tcPr>
          <w:p w14:paraId="6C7271BA" w14:textId="3AB807A8" w:rsidR="00581ED5" w:rsidRPr="0055436A" w:rsidRDefault="00E16573" w:rsidP="00B95131">
            <w:pPr>
              <w:shd w:val="clear" w:color="auto" w:fill="FFFFFF" w:themeFill="background1"/>
              <w:rPr>
                <w:sz w:val="20"/>
              </w:rPr>
            </w:pPr>
            <w:r w:rsidRPr="00E16573">
              <w:rPr>
                <w:szCs w:val="28"/>
              </w:rPr>
              <w:t>Pending – to be completed</w:t>
            </w:r>
          </w:p>
        </w:tc>
        <w:tc>
          <w:tcPr>
            <w:tcW w:w="8370" w:type="dxa"/>
            <w:shd w:val="clear" w:color="auto" w:fill="FFFFFF"/>
          </w:tcPr>
          <w:p w14:paraId="0AD18CD1" w14:textId="7A26265D" w:rsidR="00581ED5" w:rsidRPr="001E703B" w:rsidRDefault="00B27C4A" w:rsidP="00B95131">
            <w:pPr>
              <w:shd w:val="clear" w:color="auto" w:fill="FFFFFF" w:themeFill="background1"/>
              <w:rPr>
                <w:sz w:val="20"/>
              </w:rPr>
            </w:pPr>
            <w:r w:rsidRPr="0055436A">
              <w:rPr>
                <w:sz w:val="20"/>
              </w:rPr>
              <w:t xml:space="preserve">The previous </w:t>
            </w:r>
            <w:r w:rsidRPr="0055436A">
              <w:rPr>
                <w:i/>
                <w:iCs/>
                <w:sz w:val="20"/>
              </w:rPr>
              <w:t>Water for Life</w:t>
            </w:r>
            <w:r w:rsidRPr="0055436A">
              <w:rPr>
                <w:sz w:val="20"/>
              </w:rPr>
              <w:t xml:space="preserve"> Implementation Review wrapped up in 2021. There has not been an opportunity to make progress on this </w:t>
            </w:r>
            <w:r>
              <w:rPr>
                <w:sz w:val="20"/>
              </w:rPr>
              <w:t xml:space="preserve">work </w:t>
            </w:r>
            <w:r w:rsidRPr="0055436A">
              <w:rPr>
                <w:sz w:val="20"/>
              </w:rPr>
              <w:t xml:space="preserve">yet. The next review will </w:t>
            </w:r>
            <w:r>
              <w:rPr>
                <w:sz w:val="20"/>
              </w:rPr>
              <w:t xml:space="preserve">be </w:t>
            </w:r>
            <w:r w:rsidRPr="0055436A">
              <w:rPr>
                <w:sz w:val="20"/>
              </w:rPr>
              <w:t>initiated by the AWC in several years</w:t>
            </w:r>
            <w:r>
              <w:rPr>
                <w:sz w:val="20"/>
              </w:rPr>
              <w:t xml:space="preserve"> as is the status quo and</w:t>
            </w:r>
            <w:r w:rsidRPr="0055436A">
              <w:rPr>
                <w:sz w:val="20"/>
              </w:rPr>
              <w:t xml:space="preserve"> will include the indicators developed by</w:t>
            </w:r>
            <w:r>
              <w:rPr>
                <w:sz w:val="20"/>
              </w:rPr>
              <w:t xml:space="preserve"> t</w:t>
            </w:r>
            <w:r w:rsidRPr="0055436A">
              <w:rPr>
                <w:sz w:val="20"/>
              </w:rPr>
              <w:t>he 2021 review and look at possible improvements.</w:t>
            </w:r>
            <w:r>
              <w:rPr>
                <w:sz w:val="20"/>
              </w:rPr>
              <w:t xml:space="preserve"> </w:t>
            </w:r>
            <w:r w:rsidRPr="00B27C4A">
              <w:rPr>
                <w:sz w:val="20"/>
              </w:rPr>
              <w:t xml:space="preserve">AWC sectors are reviewing these recommendations </w:t>
            </w:r>
            <w:r>
              <w:rPr>
                <w:sz w:val="20"/>
              </w:rPr>
              <w:t xml:space="preserve">as part of the </w:t>
            </w:r>
            <w:r w:rsidRPr="00B27C4A">
              <w:rPr>
                <w:i/>
                <w:iCs/>
                <w:sz w:val="20"/>
              </w:rPr>
              <w:t>Water for life</w:t>
            </w:r>
            <w:r w:rsidRPr="00B27C4A">
              <w:rPr>
                <w:sz w:val="20"/>
              </w:rPr>
              <w:t xml:space="preserve"> </w:t>
            </w:r>
            <w:r>
              <w:rPr>
                <w:sz w:val="20"/>
              </w:rPr>
              <w:t>A</w:t>
            </w:r>
            <w:r w:rsidRPr="00B27C4A">
              <w:rPr>
                <w:sz w:val="20"/>
              </w:rPr>
              <w:t xml:space="preserve">ction </w:t>
            </w:r>
            <w:r>
              <w:rPr>
                <w:sz w:val="20"/>
              </w:rPr>
              <w:t>P</w:t>
            </w:r>
            <w:r w:rsidRPr="00B27C4A">
              <w:rPr>
                <w:sz w:val="20"/>
              </w:rPr>
              <w:t xml:space="preserve">lan </w:t>
            </w:r>
            <w:r>
              <w:rPr>
                <w:sz w:val="20"/>
              </w:rPr>
              <w:t>work.</w:t>
            </w:r>
          </w:p>
        </w:tc>
      </w:tr>
      <w:tr w:rsidR="00581ED5" w:rsidRPr="001E703B" w14:paraId="297F7E27" w14:textId="77777777" w:rsidTr="00E16573">
        <w:tc>
          <w:tcPr>
            <w:tcW w:w="706" w:type="dxa"/>
            <w:shd w:val="clear" w:color="auto" w:fill="FFFFFF"/>
          </w:tcPr>
          <w:p w14:paraId="28F4A704" w14:textId="77777777" w:rsidR="00581ED5" w:rsidRPr="001E703B" w:rsidRDefault="00581ED5" w:rsidP="00B95131">
            <w:pPr>
              <w:shd w:val="clear" w:color="auto" w:fill="FFFFFF" w:themeFill="background1"/>
              <w:jc w:val="center"/>
            </w:pPr>
            <w:r w:rsidRPr="001E703B">
              <w:t>3</w:t>
            </w:r>
          </w:p>
        </w:tc>
        <w:tc>
          <w:tcPr>
            <w:tcW w:w="3249" w:type="dxa"/>
            <w:shd w:val="clear" w:color="auto" w:fill="FFFFFF"/>
          </w:tcPr>
          <w:p w14:paraId="26CDC8F1" w14:textId="77777777" w:rsidR="00581ED5" w:rsidRDefault="00581ED5" w:rsidP="00C35925">
            <w:pPr>
              <w:shd w:val="clear" w:color="auto" w:fill="FFFFFF" w:themeFill="background1"/>
              <w:rPr>
                <w:sz w:val="20"/>
              </w:rPr>
            </w:pPr>
            <w:r w:rsidRPr="00B95131">
              <w:rPr>
                <w:sz w:val="20"/>
              </w:rPr>
              <w:t xml:space="preserve">Small Systems Standards </w:t>
            </w:r>
          </w:p>
          <w:p w14:paraId="661F01FE" w14:textId="77777777" w:rsidR="00581ED5" w:rsidRDefault="00581ED5" w:rsidP="00C35925">
            <w:pPr>
              <w:shd w:val="clear" w:color="auto" w:fill="FFFFFF" w:themeFill="background1"/>
              <w:rPr>
                <w:sz w:val="20"/>
              </w:rPr>
            </w:pPr>
            <w:r w:rsidRPr="00B95131">
              <w:rPr>
                <w:sz w:val="20"/>
              </w:rPr>
              <w:t xml:space="preserve">That the GoA finish and publicly release standards for non-municipal public drinking water systems that fall under the </w:t>
            </w:r>
            <w:r w:rsidRPr="00C35925">
              <w:rPr>
                <w:i/>
                <w:iCs/>
                <w:sz w:val="20"/>
              </w:rPr>
              <w:t xml:space="preserve">Public Health Act </w:t>
            </w:r>
            <w:r w:rsidRPr="00B95131">
              <w:rPr>
                <w:sz w:val="20"/>
              </w:rPr>
              <w:t>as guidance for system operators by the end of 2022.</w:t>
            </w:r>
          </w:p>
          <w:p w14:paraId="4CB8074A" w14:textId="04C3C9BD" w:rsidR="00581ED5" w:rsidRPr="001E703B" w:rsidRDefault="00581ED5" w:rsidP="00C35925">
            <w:pPr>
              <w:shd w:val="clear" w:color="auto" w:fill="FFFFFF" w:themeFill="background1"/>
              <w:rPr>
                <w:sz w:val="20"/>
              </w:rPr>
            </w:pPr>
          </w:p>
        </w:tc>
        <w:tc>
          <w:tcPr>
            <w:tcW w:w="2790" w:type="dxa"/>
            <w:gridSpan w:val="2"/>
            <w:shd w:val="clear" w:color="auto" w:fill="FFFFFF"/>
          </w:tcPr>
          <w:p w14:paraId="4AFC7C9F" w14:textId="78350B41" w:rsidR="00581ED5" w:rsidRPr="001E703B" w:rsidRDefault="00581ED5" w:rsidP="00B95131">
            <w:pPr>
              <w:shd w:val="clear" w:color="auto" w:fill="FFFFFF" w:themeFill="background1"/>
              <w:rPr>
                <w:szCs w:val="24"/>
              </w:rPr>
            </w:pPr>
            <w:r>
              <w:rPr>
                <w:szCs w:val="24"/>
              </w:rPr>
              <w:t>Government of Alberta</w:t>
            </w:r>
          </w:p>
        </w:tc>
        <w:tc>
          <w:tcPr>
            <w:tcW w:w="2340" w:type="dxa"/>
            <w:shd w:val="clear" w:color="auto" w:fill="FFFFFF"/>
          </w:tcPr>
          <w:p w14:paraId="5345B853" w14:textId="6D94F4D3" w:rsidR="00581ED5" w:rsidRPr="001E703B" w:rsidRDefault="00581ED5" w:rsidP="00C35925">
            <w:pPr>
              <w:shd w:val="clear" w:color="auto" w:fill="FFFFFF" w:themeFill="background1"/>
              <w:jc w:val="center"/>
              <w:rPr>
                <w:szCs w:val="24"/>
              </w:rPr>
            </w:pPr>
            <w:r>
              <w:rPr>
                <w:szCs w:val="24"/>
              </w:rPr>
              <w:t>2022</w:t>
            </w:r>
          </w:p>
        </w:tc>
        <w:tc>
          <w:tcPr>
            <w:tcW w:w="2970" w:type="dxa"/>
            <w:shd w:val="clear" w:color="auto" w:fill="B8D779" w:themeFill="accent4" w:themeFillTint="99"/>
          </w:tcPr>
          <w:p w14:paraId="5AD2F0A5" w14:textId="01F344B5" w:rsidR="00581ED5" w:rsidRPr="00794216" w:rsidRDefault="00581ED5" w:rsidP="001E7994">
            <w:pPr>
              <w:shd w:val="clear" w:color="auto" w:fill="FFFFFF" w:themeFill="background1"/>
              <w:jc w:val="center"/>
            </w:pPr>
            <w:r w:rsidRPr="00794216">
              <w:t>Pending – to be completed</w:t>
            </w:r>
          </w:p>
        </w:tc>
        <w:tc>
          <w:tcPr>
            <w:tcW w:w="2790" w:type="dxa"/>
            <w:shd w:val="clear" w:color="auto" w:fill="B8D779" w:themeFill="accent4" w:themeFillTint="99"/>
          </w:tcPr>
          <w:p w14:paraId="79E724C5" w14:textId="410A8DE6" w:rsidR="00581ED5" w:rsidRPr="001E7994" w:rsidRDefault="00E16573" w:rsidP="001E7994">
            <w:pPr>
              <w:shd w:val="clear" w:color="auto" w:fill="FFFFFF" w:themeFill="background1"/>
              <w:rPr>
                <w:sz w:val="20"/>
              </w:rPr>
            </w:pPr>
            <w:r w:rsidRPr="00E16573">
              <w:rPr>
                <w:szCs w:val="28"/>
              </w:rPr>
              <w:t>Pending – to be completed</w:t>
            </w:r>
          </w:p>
        </w:tc>
        <w:tc>
          <w:tcPr>
            <w:tcW w:w="8370" w:type="dxa"/>
            <w:shd w:val="clear" w:color="auto" w:fill="FFFFFF"/>
          </w:tcPr>
          <w:p w14:paraId="2F54F70F" w14:textId="43FAFF0B" w:rsidR="00B27C4A" w:rsidRPr="00B27C4A" w:rsidRDefault="00B27C4A" w:rsidP="00B27C4A">
            <w:pPr>
              <w:shd w:val="clear" w:color="auto" w:fill="FFFFFF" w:themeFill="background1"/>
              <w:rPr>
                <w:sz w:val="20"/>
              </w:rPr>
            </w:pPr>
            <w:r w:rsidRPr="00B27C4A">
              <w:rPr>
                <w:sz w:val="20"/>
              </w:rPr>
              <w:t xml:space="preserve">EPA is </w:t>
            </w:r>
            <w:r>
              <w:rPr>
                <w:sz w:val="20"/>
              </w:rPr>
              <w:t>working</w:t>
            </w:r>
            <w:r w:rsidRPr="00B27C4A">
              <w:rPr>
                <w:sz w:val="20"/>
              </w:rPr>
              <w:t xml:space="preserve"> jointly with Alberta Health and Alberta Health Services to support the completion and implementation of a new approach to regulating micro waterworks systems in Alberta. </w:t>
            </w:r>
          </w:p>
          <w:p w14:paraId="6996BACF" w14:textId="77777777" w:rsidR="00B27C4A" w:rsidRPr="00B27C4A" w:rsidRDefault="00B27C4A" w:rsidP="00B27C4A">
            <w:pPr>
              <w:shd w:val="clear" w:color="auto" w:fill="FFFFFF" w:themeFill="background1"/>
              <w:rPr>
                <w:sz w:val="20"/>
              </w:rPr>
            </w:pPr>
            <w:r w:rsidRPr="00B27C4A">
              <w:rPr>
                <w:sz w:val="20"/>
              </w:rPr>
              <w:t>EPA:</w:t>
            </w:r>
          </w:p>
          <w:p w14:paraId="56899886" w14:textId="77777777" w:rsidR="00B27C4A" w:rsidRPr="00B27C4A" w:rsidRDefault="00B27C4A" w:rsidP="00B27C4A">
            <w:pPr>
              <w:shd w:val="clear" w:color="auto" w:fill="FFFFFF" w:themeFill="background1"/>
              <w:rPr>
                <w:sz w:val="20"/>
              </w:rPr>
            </w:pPr>
            <w:r w:rsidRPr="00B27C4A">
              <w:rPr>
                <w:sz w:val="20"/>
              </w:rPr>
              <w:t>Phase I – Complete</w:t>
            </w:r>
          </w:p>
          <w:p w14:paraId="4B9CAC1B" w14:textId="23AE005E" w:rsidR="00B27C4A" w:rsidRPr="00B27C4A" w:rsidRDefault="00B27C4A" w:rsidP="00B27C4A">
            <w:pPr>
              <w:numPr>
                <w:ilvl w:val="0"/>
                <w:numId w:val="24"/>
              </w:numPr>
              <w:shd w:val="clear" w:color="auto" w:fill="FFFFFF" w:themeFill="background1"/>
              <w:rPr>
                <w:sz w:val="20"/>
              </w:rPr>
            </w:pPr>
            <w:r w:rsidRPr="00B27C4A">
              <w:rPr>
                <w:sz w:val="20"/>
              </w:rPr>
              <w:t>Renewed and amended the Potable Water Regulation to enable a newly published Standards for Micro Waterworks</w:t>
            </w:r>
            <w:r>
              <w:rPr>
                <w:sz w:val="20"/>
              </w:rPr>
              <w:t xml:space="preserve"> </w:t>
            </w:r>
            <w:hyperlink r:id="rId8" w:history="1">
              <w:r w:rsidRPr="00B27C4A">
                <w:rPr>
                  <w:rStyle w:val="Hyperlink"/>
                  <w:sz w:val="20"/>
                </w:rPr>
                <w:t>https://open.alberta.ca/publications/standards-for-micro-waterworks-systems</w:t>
              </w:r>
            </w:hyperlink>
          </w:p>
          <w:p w14:paraId="54835BA7" w14:textId="77777777" w:rsidR="00B27C4A" w:rsidRPr="00B27C4A" w:rsidRDefault="00B27C4A" w:rsidP="00B27C4A">
            <w:pPr>
              <w:shd w:val="clear" w:color="auto" w:fill="FFFFFF" w:themeFill="background1"/>
              <w:rPr>
                <w:sz w:val="20"/>
              </w:rPr>
            </w:pPr>
            <w:r w:rsidRPr="00B27C4A">
              <w:rPr>
                <w:sz w:val="20"/>
              </w:rPr>
              <w:t>Phase II – In Progress</w:t>
            </w:r>
          </w:p>
          <w:p w14:paraId="4E5FF952" w14:textId="77777777" w:rsidR="00B27C4A" w:rsidRPr="00B27C4A" w:rsidRDefault="00B27C4A" w:rsidP="00B27C4A">
            <w:pPr>
              <w:numPr>
                <w:ilvl w:val="0"/>
                <w:numId w:val="24"/>
              </w:numPr>
              <w:shd w:val="clear" w:color="auto" w:fill="FFFFFF" w:themeFill="background1"/>
              <w:rPr>
                <w:sz w:val="20"/>
              </w:rPr>
            </w:pPr>
            <w:r w:rsidRPr="00B27C4A">
              <w:rPr>
                <w:sz w:val="20"/>
              </w:rPr>
              <w:t xml:space="preserve">Work is ongoing on: </w:t>
            </w:r>
          </w:p>
          <w:p w14:paraId="52ECAEF5" w14:textId="77777777" w:rsidR="00B27C4A" w:rsidRPr="00B27C4A" w:rsidRDefault="00B27C4A" w:rsidP="00B27C4A">
            <w:pPr>
              <w:numPr>
                <w:ilvl w:val="0"/>
                <w:numId w:val="23"/>
              </w:numPr>
              <w:shd w:val="clear" w:color="auto" w:fill="FFFFFF" w:themeFill="background1"/>
              <w:rPr>
                <w:sz w:val="20"/>
              </w:rPr>
            </w:pPr>
            <w:r w:rsidRPr="00B27C4A">
              <w:rPr>
                <w:sz w:val="20"/>
              </w:rPr>
              <w:t>development of a new Code of Practice for Micro Waterworks and associated legislative changes to implement (including finalization of jurisdiction between EPA and AH/AHS)</w:t>
            </w:r>
          </w:p>
          <w:p w14:paraId="5D00C39F" w14:textId="77777777" w:rsidR="00B27C4A" w:rsidRPr="00B27C4A" w:rsidRDefault="00B27C4A" w:rsidP="00B27C4A">
            <w:pPr>
              <w:numPr>
                <w:ilvl w:val="0"/>
                <w:numId w:val="23"/>
              </w:numPr>
              <w:shd w:val="clear" w:color="auto" w:fill="FFFFFF" w:themeFill="background1"/>
              <w:rPr>
                <w:sz w:val="20"/>
              </w:rPr>
            </w:pPr>
            <w:r w:rsidRPr="00B27C4A">
              <w:rPr>
                <w:sz w:val="20"/>
              </w:rPr>
              <w:t xml:space="preserve">new approach to operator certification for these types of systems. </w:t>
            </w:r>
          </w:p>
          <w:p w14:paraId="179A7DFC" w14:textId="77777777" w:rsidR="00B27C4A" w:rsidRDefault="00B27C4A" w:rsidP="00B27C4A">
            <w:pPr>
              <w:shd w:val="clear" w:color="auto" w:fill="FFFFFF" w:themeFill="background1"/>
              <w:rPr>
                <w:sz w:val="20"/>
              </w:rPr>
            </w:pPr>
          </w:p>
          <w:p w14:paraId="015D83B5" w14:textId="204F2711" w:rsidR="00B27C4A" w:rsidRPr="00B27C4A" w:rsidRDefault="00B27C4A" w:rsidP="00B27C4A">
            <w:pPr>
              <w:shd w:val="clear" w:color="auto" w:fill="FFFFFF" w:themeFill="background1"/>
              <w:rPr>
                <w:sz w:val="20"/>
              </w:rPr>
            </w:pPr>
            <w:r w:rsidRPr="00B27C4A">
              <w:rPr>
                <w:sz w:val="20"/>
              </w:rPr>
              <w:t>Alberta Health:</w:t>
            </w:r>
          </w:p>
          <w:p w14:paraId="7B925B2A" w14:textId="77777777" w:rsidR="00B27C4A" w:rsidRPr="00B27C4A" w:rsidRDefault="00B27C4A" w:rsidP="00B27C4A">
            <w:pPr>
              <w:shd w:val="clear" w:color="auto" w:fill="FFFFFF" w:themeFill="background1"/>
              <w:rPr>
                <w:sz w:val="20"/>
              </w:rPr>
            </w:pPr>
            <w:r w:rsidRPr="00B27C4A">
              <w:rPr>
                <w:sz w:val="20"/>
              </w:rPr>
              <w:t xml:space="preserve">The Public Health Guidelines for Non-Municipal Drinking Water were released in July 2021, and are available at: </w:t>
            </w:r>
          </w:p>
          <w:p w14:paraId="38C0651A" w14:textId="77777777" w:rsidR="00B27C4A" w:rsidRPr="00B27C4A" w:rsidRDefault="00DE423A" w:rsidP="00B27C4A">
            <w:pPr>
              <w:shd w:val="clear" w:color="auto" w:fill="FFFFFF" w:themeFill="background1"/>
              <w:rPr>
                <w:sz w:val="20"/>
              </w:rPr>
            </w:pPr>
            <w:hyperlink r:id="rId9" w:history="1">
              <w:r w:rsidR="00B27C4A" w:rsidRPr="00B27C4A">
                <w:rPr>
                  <w:rStyle w:val="Hyperlink"/>
                  <w:sz w:val="20"/>
                </w:rPr>
                <w:t>https://open.alberta.ca/publications/public-health-guidelines-non-municipal-drinking-water</w:t>
              </w:r>
            </w:hyperlink>
          </w:p>
          <w:p w14:paraId="47F36BCA" w14:textId="77777777" w:rsidR="00B27C4A" w:rsidRPr="00B27C4A" w:rsidRDefault="00B27C4A" w:rsidP="00B27C4A">
            <w:pPr>
              <w:shd w:val="clear" w:color="auto" w:fill="FFFFFF" w:themeFill="background1"/>
              <w:rPr>
                <w:sz w:val="20"/>
              </w:rPr>
            </w:pPr>
            <w:r w:rsidRPr="00B27C4A">
              <w:rPr>
                <w:sz w:val="20"/>
              </w:rPr>
              <w:t xml:space="preserve">Work to replace the Guidelines with Standards is ongoing. </w:t>
            </w:r>
          </w:p>
          <w:p w14:paraId="6966D829" w14:textId="52CEC5C1" w:rsidR="00581ED5" w:rsidRPr="001E703B" w:rsidRDefault="00581ED5" w:rsidP="00B95131">
            <w:pPr>
              <w:shd w:val="clear" w:color="auto" w:fill="FFFFFF" w:themeFill="background1"/>
              <w:rPr>
                <w:sz w:val="20"/>
              </w:rPr>
            </w:pPr>
          </w:p>
        </w:tc>
      </w:tr>
      <w:tr w:rsidR="00581ED5" w:rsidRPr="001E703B" w14:paraId="125BD03A" w14:textId="77777777" w:rsidTr="00E16573">
        <w:tc>
          <w:tcPr>
            <w:tcW w:w="706" w:type="dxa"/>
            <w:shd w:val="clear" w:color="auto" w:fill="FFFFFF"/>
          </w:tcPr>
          <w:p w14:paraId="1B4C1A9A" w14:textId="67500B06" w:rsidR="00581ED5" w:rsidRPr="001E703B" w:rsidRDefault="00581ED5" w:rsidP="00B95131">
            <w:pPr>
              <w:shd w:val="clear" w:color="auto" w:fill="FFFFFF" w:themeFill="background1"/>
              <w:jc w:val="center"/>
            </w:pPr>
            <w:r>
              <w:t>4</w:t>
            </w:r>
          </w:p>
        </w:tc>
        <w:tc>
          <w:tcPr>
            <w:tcW w:w="3249" w:type="dxa"/>
            <w:shd w:val="clear" w:color="auto" w:fill="FFFFFF"/>
          </w:tcPr>
          <w:p w14:paraId="22E3BF64" w14:textId="77777777" w:rsidR="00581ED5" w:rsidRDefault="00581ED5" w:rsidP="00C35925">
            <w:pPr>
              <w:shd w:val="clear" w:color="auto" w:fill="FFFFFF" w:themeFill="background1"/>
              <w:rPr>
                <w:sz w:val="20"/>
              </w:rPr>
            </w:pPr>
            <w:r w:rsidRPr="00C35925">
              <w:rPr>
                <w:sz w:val="20"/>
              </w:rPr>
              <w:t xml:space="preserve">Drinking Water Safety Plan Audits </w:t>
            </w:r>
          </w:p>
          <w:p w14:paraId="1C3BA12A" w14:textId="77777777" w:rsidR="00581ED5" w:rsidRDefault="00581ED5" w:rsidP="00C35925">
            <w:pPr>
              <w:shd w:val="clear" w:color="auto" w:fill="FFFFFF" w:themeFill="background1"/>
              <w:rPr>
                <w:sz w:val="20"/>
              </w:rPr>
            </w:pPr>
            <w:r w:rsidRPr="00C35925">
              <w:rPr>
                <w:sz w:val="20"/>
              </w:rPr>
              <w:t xml:space="preserve">That the GoA improve the drinking </w:t>
            </w:r>
            <w:r w:rsidRPr="00C35925">
              <w:rPr>
                <w:sz w:val="20"/>
              </w:rPr>
              <w:lastRenderedPageBreak/>
              <w:t>water safety plan program for publicly regulated systems by adding a mandatory review and/or auditing function to the current process by 2024.</w:t>
            </w:r>
          </w:p>
          <w:p w14:paraId="51A54C74" w14:textId="1632217E" w:rsidR="00581ED5" w:rsidRPr="00B95131" w:rsidRDefault="00581ED5" w:rsidP="00C35925">
            <w:pPr>
              <w:shd w:val="clear" w:color="auto" w:fill="FFFFFF" w:themeFill="background1"/>
              <w:rPr>
                <w:sz w:val="20"/>
              </w:rPr>
            </w:pPr>
          </w:p>
        </w:tc>
        <w:tc>
          <w:tcPr>
            <w:tcW w:w="2790" w:type="dxa"/>
            <w:gridSpan w:val="2"/>
            <w:shd w:val="clear" w:color="auto" w:fill="FFFFFF"/>
          </w:tcPr>
          <w:p w14:paraId="4D72D50F" w14:textId="222E0843" w:rsidR="00581ED5" w:rsidRDefault="00581ED5" w:rsidP="00B95131">
            <w:pPr>
              <w:shd w:val="clear" w:color="auto" w:fill="FFFFFF" w:themeFill="background1"/>
              <w:rPr>
                <w:szCs w:val="24"/>
              </w:rPr>
            </w:pPr>
            <w:r>
              <w:rPr>
                <w:szCs w:val="24"/>
              </w:rPr>
              <w:lastRenderedPageBreak/>
              <w:t>Government of Alberta</w:t>
            </w:r>
          </w:p>
        </w:tc>
        <w:tc>
          <w:tcPr>
            <w:tcW w:w="2340" w:type="dxa"/>
            <w:shd w:val="clear" w:color="auto" w:fill="FFFFFF"/>
          </w:tcPr>
          <w:p w14:paraId="49646EE6" w14:textId="3F5CD764" w:rsidR="00581ED5" w:rsidRDefault="00581ED5" w:rsidP="00C35925">
            <w:pPr>
              <w:shd w:val="clear" w:color="auto" w:fill="FFFFFF" w:themeFill="background1"/>
              <w:jc w:val="center"/>
              <w:rPr>
                <w:szCs w:val="24"/>
              </w:rPr>
            </w:pPr>
            <w:r>
              <w:rPr>
                <w:szCs w:val="24"/>
              </w:rPr>
              <w:t>2024</w:t>
            </w:r>
          </w:p>
        </w:tc>
        <w:tc>
          <w:tcPr>
            <w:tcW w:w="2970" w:type="dxa"/>
            <w:shd w:val="clear" w:color="auto" w:fill="B8D779" w:themeFill="accent4" w:themeFillTint="99"/>
          </w:tcPr>
          <w:p w14:paraId="2CFF4E37" w14:textId="7C642B95" w:rsidR="00581ED5" w:rsidRPr="00794216" w:rsidRDefault="00581ED5" w:rsidP="001E7994">
            <w:pPr>
              <w:shd w:val="clear" w:color="auto" w:fill="FFFFFF" w:themeFill="background1"/>
              <w:jc w:val="center"/>
            </w:pPr>
            <w:r>
              <w:t>Pending - Uncertain</w:t>
            </w:r>
          </w:p>
        </w:tc>
        <w:tc>
          <w:tcPr>
            <w:tcW w:w="2790" w:type="dxa"/>
            <w:shd w:val="clear" w:color="auto" w:fill="B8D779" w:themeFill="accent4" w:themeFillTint="99"/>
          </w:tcPr>
          <w:p w14:paraId="00CEB34D" w14:textId="4CF2908A" w:rsidR="00581ED5" w:rsidRPr="00D81CA2" w:rsidRDefault="00E16573" w:rsidP="00B95131">
            <w:pPr>
              <w:shd w:val="clear" w:color="auto" w:fill="FFFFFF" w:themeFill="background1"/>
              <w:rPr>
                <w:sz w:val="20"/>
              </w:rPr>
            </w:pPr>
            <w:r w:rsidRPr="00E16573">
              <w:rPr>
                <w:szCs w:val="28"/>
              </w:rPr>
              <w:t>Pending – to be completed</w:t>
            </w:r>
          </w:p>
        </w:tc>
        <w:tc>
          <w:tcPr>
            <w:tcW w:w="8370" w:type="dxa"/>
            <w:shd w:val="clear" w:color="auto" w:fill="FFFFFF"/>
          </w:tcPr>
          <w:p w14:paraId="59685398" w14:textId="337A95B9" w:rsidR="00581ED5" w:rsidRPr="001E703B" w:rsidRDefault="00581ED5" w:rsidP="00B95131">
            <w:pPr>
              <w:shd w:val="clear" w:color="auto" w:fill="FFFFFF" w:themeFill="background1"/>
              <w:rPr>
                <w:sz w:val="20"/>
              </w:rPr>
            </w:pPr>
            <w:r w:rsidRPr="00D81CA2">
              <w:rPr>
                <w:sz w:val="20"/>
              </w:rPr>
              <w:t xml:space="preserve">AEP will explore the scope of work in 2022 to inform a path forward. This work involves both compliance and drinking water operations specialization functions within AEP, and key </w:t>
            </w:r>
            <w:r w:rsidRPr="00D81CA2">
              <w:rPr>
                <w:sz w:val="20"/>
              </w:rPr>
              <w:lastRenderedPageBreak/>
              <w:t>considerations for system operators/owners.</w:t>
            </w:r>
          </w:p>
        </w:tc>
      </w:tr>
      <w:tr w:rsidR="00581ED5" w:rsidRPr="001E703B" w14:paraId="2A608C96" w14:textId="77777777" w:rsidTr="00E16573">
        <w:tc>
          <w:tcPr>
            <w:tcW w:w="706" w:type="dxa"/>
            <w:shd w:val="clear" w:color="auto" w:fill="FFFFFF"/>
          </w:tcPr>
          <w:p w14:paraId="5B758131" w14:textId="54FE0F70" w:rsidR="00581ED5" w:rsidRDefault="00581ED5" w:rsidP="00B95131">
            <w:pPr>
              <w:shd w:val="clear" w:color="auto" w:fill="FFFFFF" w:themeFill="background1"/>
              <w:jc w:val="center"/>
            </w:pPr>
            <w:r>
              <w:lastRenderedPageBreak/>
              <w:t>5</w:t>
            </w:r>
          </w:p>
        </w:tc>
        <w:tc>
          <w:tcPr>
            <w:tcW w:w="3249" w:type="dxa"/>
            <w:shd w:val="clear" w:color="auto" w:fill="FFFFFF"/>
          </w:tcPr>
          <w:p w14:paraId="333AB92B" w14:textId="77777777" w:rsidR="00581ED5" w:rsidRDefault="00581ED5" w:rsidP="00C35925">
            <w:pPr>
              <w:shd w:val="clear" w:color="auto" w:fill="FFFFFF" w:themeFill="background1"/>
              <w:rPr>
                <w:sz w:val="20"/>
              </w:rPr>
            </w:pPr>
            <w:r w:rsidRPr="00C35925">
              <w:rPr>
                <w:sz w:val="20"/>
              </w:rPr>
              <w:t xml:space="preserve">State of Drinking Water Report </w:t>
            </w:r>
          </w:p>
          <w:p w14:paraId="0026A9CD" w14:textId="77777777" w:rsidR="00581ED5" w:rsidRDefault="00581ED5" w:rsidP="00C35925">
            <w:pPr>
              <w:shd w:val="clear" w:color="auto" w:fill="FFFFFF" w:themeFill="background1"/>
              <w:rPr>
                <w:sz w:val="20"/>
              </w:rPr>
            </w:pPr>
            <w:r w:rsidRPr="00C35925">
              <w:rPr>
                <w:sz w:val="20"/>
              </w:rPr>
              <w:t>That the GoA, working with its drinking water partners, communicate by 2026 the state of drinking water and drinking water management systems (municipal, provincial, and federal) operating in Alberta, including roles and responsibilities, how risks are identified and mitigated, and where the public can get information about their local drinking water supply</w:t>
            </w:r>
            <w:r>
              <w:rPr>
                <w:sz w:val="20"/>
              </w:rPr>
              <w:t>.</w:t>
            </w:r>
          </w:p>
          <w:p w14:paraId="45EA1ADA" w14:textId="19522A1F" w:rsidR="00581ED5" w:rsidRPr="00C35925" w:rsidRDefault="00581ED5" w:rsidP="00C35925">
            <w:pPr>
              <w:shd w:val="clear" w:color="auto" w:fill="FFFFFF" w:themeFill="background1"/>
              <w:rPr>
                <w:sz w:val="20"/>
              </w:rPr>
            </w:pPr>
          </w:p>
        </w:tc>
        <w:tc>
          <w:tcPr>
            <w:tcW w:w="2790" w:type="dxa"/>
            <w:gridSpan w:val="2"/>
            <w:shd w:val="clear" w:color="auto" w:fill="FFFFFF"/>
          </w:tcPr>
          <w:p w14:paraId="4115062C" w14:textId="3F002AC9" w:rsidR="00581ED5" w:rsidRDefault="00581ED5" w:rsidP="00B95131">
            <w:pPr>
              <w:shd w:val="clear" w:color="auto" w:fill="FFFFFF" w:themeFill="background1"/>
              <w:rPr>
                <w:szCs w:val="24"/>
              </w:rPr>
            </w:pPr>
            <w:r>
              <w:rPr>
                <w:szCs w:val="24"/>
              </w:rPr>
              <w:t>Government of Alberta</w:t>
            </w:r>
          </w:p>
        </w:tc>
        <w:tc>
          <w:tcPr>
            <w:tcW w:w="2340" w:type="dxa"/>
            <w:shd w:val="clear" w:color="auto" w:fill="FFFFFF"/>
          </w:tcPr>
          <w:p w14:paraId="5E9A8BD1" w14:textId="2D349BC3" w:rsidR="00581ED5" w:rsidRDefault="00581ED5" w:rsidP="00C35925">
            <w:pPr>
              <w:shd w:val="clear" w:color="auto" w:fill="FFFFFF" w:themeFill="background1"/>
              <w:jc w:val="center"/>
              <w:rPr>
                <w:szCs w:val="24"/>
              </w:rPr>
            </w:pPr>
            <w:r>
              <w:rPr>
                <w:szCs w:val="24"/>
              </w:rPr>
              <w:t>2026</w:t>
            </w:r>
          </w:p>
        </w:tc>
        <w:tc>
          <w:tcPr>
            <w:tcW w:w="2970" w:type="dxa"/>
            <w:shd w:val="clear" w:color="auto" w:fill="B8D779" w:themeFill="accent4" w:themeFillTint="99"/>
          </w:tcPr>
          <w:p w14:paraId="69F2B5DA" w14:textId="50F48973" w:rsidR="00581ED5" w:rsidRPr="00794216" w:rsidRDefault="00581ED5" w:rsidP="001E7994">
            <w:pPr>
              <w:shd w:val="clear" w:color="auto" w:fill="FFFFFF" w:themeFill="background1"/>
              <w:jc w:val="center"/>
            </w:pPr>
            <w:r>
              <w:t>Pending - Uncertain</w:t>
            </w:r>
          </w:p>
        </w:tc>
        <w:tc>
          <w:tcPr>
            <w:tcW w:w="2790" w:type="dxa"/>
            <w:shd w:val="clear" w:color="auto" w:fill="B8D779" w:themeFill="accent4" w:themeFillTint="99"/>
          </w:tcPr>
          <w:p w14:paraId="5540A364" w14:textId="5A736298" w:rsidR="00581ED5" w:rsidRPr="00D81CA2" w:rsidRDefault="00E16573" w:rsidP="00D81CA2">
            <w:pPr>
              <w:shd w:val="clear" w:color="auto" w:fill="FFFFFF" w:themeFill="background1"/>
              <w:rPr>
                <w:sz w:val="20"/>
              </w:rPr>
            </w:pPr>
            <w:r w:rsidRPr="00E16573">
              <w:rPr>
                <w:szCs w:val="28"/>
              </w:rPr>
              <w:t xml:space="preserve">Pending – </w:t>
            </w:r>
            <w:r>
              <w:rPr>
                <w:szCs w:val="28"/>
              </w:rPr>
              <w:t>Uncertain</w:t>
            </w:r>
          </w:p>
        </w:tc>
        <w:tc>
          <w:tcPr>
            <w:tcW w:w="8370" w:type="dxa"/>
            <w:shd w:val="clear" w:color="auto" w:fill="FFFFFF"/>
          </w:tcPr>
          <w:p w14:paraId="1F375FBD" w14:textId="2B69D66C" w:rsidR="00581ED5" w:rsidRPr="001E703B" w:rsidRDefault="00B27C4A" w:rsidP="00B27C4A">
            <w:pPr>
              <w:shd w:val="clear" w:color="auto" w:fill="FFFFFF" w:themeFill="background1"/>
              <w:rPr>
                <w:sz w:val="20"/>
              </w:rPr>
            </w:pPr>
            <w:r w:rsidRPr="00B27C4A">
              <w:rPr>
                <w:sz w:val="20"/>
              </w:rPr>
              <w:t>EPA work has been initiated on the documentation of the department’s Drinking Water Management System. This recommendation is being used to inform EPA discussions on content including gaps and opportunities. Collaboration and capacity across various EPA work units is an important consideration in implementing this recommendation as written.  EPA is looking at linking this to the evolution of the Digital Regulatory Assurance System</w:t>
            </w:r>
            <w:r>
              <w:rPr>
                <w:sz w:val="20"/>
              </w:rPr>
              <w:t>.</w:t>
            </w:r>
          </w:p>
        </w:tc>
      </w:tr>
      <w:tr w:rsidR="00581ED5" w:rsidRPr="001E703B" w14:paraId="21C2FE81" w14:textId="77777777" w:rsidTr="00E16573">
        <w:tc>
          <w:tcPr>
            <w:tcW w:w="706" w:type="dxa"/>
            <w:shd w:val="clear" w:color="auto" w:fill="FFFFFF"/>
          </w:tcPr>
          <w:p w14:paraId="3F126E6E" w14:textId="50AA6F28" w:rsidR="00581ED5" w:rsidRDefault="00581ED5" w:rsidP="00B95131">
            <w:pPr>
              <w:shd w:val="clear" w:color="auto" w:fill="FFFFFF" w:themeFill="background1"/>
              <w:jc w:val="center"/>
            </w:pPr>
            <w:r>
              <w:t>6</w:t>
            </w:r>
          </w:p>
        </w:tc>
        <w:tc>
          <w:tcPr>
            <w:tcW w:w="3249" w:type="dxa"/>
            <w:shd w:val="clear" w:color="auto" w:fill="FFFFFF"/>
          </w:tcPr>
          <w:p w14:paraId="7BAA2DC7" w14:textId="77777777" w:rsidR="00581ED5" w:rsidRDefault="00581ED5" w:rsidP="00C35925">
            <w:pPr>
              <w:shd w:val="clear" w:color="auto" w:fill="FFFFFF" w:themeFill="background1"/>
              <w:rPr>
                <w:sz w:val="20"/>
              </w:rPr>
            </w:pPr>
            <w:r w:rsidRPr="00C35925">
              <w:rPr>
                <w:sz w:val="20"/>
              </w:rPr>
              <w:t xml:space="preserve">One-water Approach </w:t>
            </w:r>
          </w:p>
          <w:p w14:paraId="41235970" w14:textId="68DC96A2" w:rsidR="00581ED5" w:rsidRPr="00C35925" w:rsidRDefault="00581ED5" w:rsidP="00C35925">
            <w:pPr>
              <w:shd w:val="clear" w:color="auto" w:fill="FFFFFF" w:themeFill="background1"/>
              <w:rPr>
                <w:sz w:val="20"/>
              </w:rPr>
            </w:pPr>
            <w:r w:rsidRPr="00C35925">
              <w:rPr>
                <w:sz w:val="20"/>
              </w:rPr>
              <w:t>That the AWC work with municipalities and other major water using sectors to provide the GoA advice (by 2024) on how management of source drinking water, wastewater, storm water, and water reuse can be improved by 1) identifying the policy or regulatory barriers and economic constraints to a “one-water” systems approach and 2) exploring the pros and cons of using green infrastructure to manage water quantity and quality in Alberta</w:t>
            </w:r>
            <w:r>
              <w:rPr>
                <w:sz w:val="20"/>
              </w:rPr>
              <w:t>.</w:t>
            </w:r>
          </w:p>
        </w:tc>
        <w:tc>
          <w:tcPr>
            <w:tcW w:w="2790" w:type="dxa"/>
            <w:gridSpan w:val="2"/>
            <w:shd w:val="clear" w:color="auto" w:fill="FFFFFF"/>
          </w:tcPr>
          <w:p w14:paraId="042AF19C" w14:textId="07904D47" w:rsidR="00581ED5" w:rsidRDefault="00581ED5" w:rsidP="00B95131">
            <w:pPr>
              <w:shd w:val="clear" w:color="auto" w:fill="FFFFFF" w:themeFill="background1"/>
              <w:rPr>
                <w:szCs w:val="24"/>
              </w:rPr>
            </w:pPr>
            <w:r>
              <w:rPr>
                <w:szCs w:val="24"/>
              </w:rPr>
              <w:t>Alberta Water Council</w:t>
            </w:r>
          </w:p>
        </w:tc>
        <w:tc>
          <w:tcPr>
            <w:tcW w:w="2340" w:type="dxa"/>
            <w:shd w:val="clear" w:color="auto" w:fill="FFFFFF"/>
          </w:tcPr>
          <w:p w14:paraId="7E83B1EE" w14:textId="5CE238FC" w:rsidR="00581ED5" w:rsidRDefault="00581ED5" w:rsidP="00794216">
            <w:pPr>
              <w:shd w:val="clear" w:color="auto" w:fill="FFFFFF" w:themeFill="background1"/>
              <w:jc w:val="center"/>
              <w:rPr>
                <w:szCs w:val="24"/>
              </w:rPr>
            </w:pPr>
            <w:r>
              <w:rPr>
                <w:szCs w:val="24"/>
              </w:rPr>
              <w:t>2024</w:t>
            </w:r>
          </w:p>
        </w:tc>
        <w:tc>
          <w:tcPr>
            <w:tcW w:w="2970" w:type="dxa"/>
            <w:shd w:val="clear" w:color="auto" w:fill="B8D779" w:themeFill="accent4" w:themeFillTint="99"/>
          </w:tcPr>
          <w:p w14:paraId="1D4DE383" w14:textId="549149AF" w:rsidR="00581ED5" w:rsidRPr="00794216" w:rsidRDefault="00581ED5" w:rsidP="00794216">
            <w:pPr>
              <w:shd w:val="clear" w:color="auto" w:fill="FFFFFF" w:themeFill="background1"/>
              <w:jc w:val="center"/>
            </w:pPr>
            <w:r w:rsidRPr="00794216">
              <w:t>Pending – to be completed</w:t>
            </w:r>
          </w:p>
        </w:tc>
        <w:tc>
          <w:tcPr>
            <w:tcW w:w="2790" w:type="dxa"/>
            <w:shd w:val="clear" w:color="auto" w:fill="B8D779" w:themeFill="accent4" w:themeFillTint="99"/>
          </w:tcPr>
          <w:p w14:paraId="5A76F2EA" w14:textId="55562DB4" w:rsidR="00581ED5" w:rsidRDefault="00E16573" w:rsidP="00B95131">
            <w:pPr>
              <w:shd w:val="clear" w:color="auto" w:fill="FFFFFF" w:themeFill="background1"/>
              <w:rPr>
                <w:sz w:val="20"/>
              </w:rPr>
            </w:pPr>
            <w:r w:rsidRPr="00E16573">
              <w:rPr>
                <w:szCs w:val="28"/>
              </w:rPr>
              <w:t xml:space="preserve">Pending – </w:t>
            </w:r>
            <w:r w:rsidR="00B27C4A">
              <w:rPr>
                <w:szCs w:val="28"/>
              </w:rPr>
              <w:t>to be completed</w:t>
            </w:r>
          </w:p>
        </w:tc>
        <w:tc>
          <w:tcPr>
            <w:tcW w:w="8370" w:type="dxa"/>
            <w:shd w:val="clear" w:color="auto" w:fill="FFFFFF"/>
          </w:tcPr>
          <w:p w14:paraId="501DC95E" w14:textId="57ABF58D" w:rsidR="00581ED5" w:rsidRPr="001E703B" w:rsidRDefault="00B27C4A" w:rsidP="00B95131">
            <w:pPr>
              <w:shd w:val="clear" w:color="auto" w:fill="FFFFFF" w:themeFill="background1"/>
              <w:rPr>
                <w:sz w:val="20"/>
              </w:rPr>
            </w:pPr>
            <w:r>
              <w:rPr>
                <w:sz w:val="20"/>
              </w:rPr>
              <w:t>This project idea will be considered by the board at a future project selection meeting.</w:t>
            </w:r>
          </w:p>
        </w:tc>
      </w:tr>
      <w:tr w:rsidR="00581ED5" w:rsidRPr="001E703B" w14:paraId="6AE6A37B" w14:textId="77777777" w:rsidTr="00E16573">
        <w:tc>
          <w:tcPr>
            <w:tcW w:w="706" w:type="dxa"/>
            <w:shd w:val="clear" w:color="auto" w:fill="FFFFFF"/>
          </w:tcPr>
          <w:p w14:paraId="41E16A31" w14:textId="0C945A57" w:rsidR="00581ED5" w:rsidRDefault="00581ED5" w:rsidP="00B95131">
            <w:pPr>
              <w:shd w:val="clear" w:color="auto" w:fill="FFFFFF" w:themeFill="background1"/>
              <w:jc w:val="center"/>
            </w:pPr>
            <w:r>
              <w:t>7</w:t>
            </w:r>
          </w:p>
        </w:tc>
        <w:tc>
          <w:tcPr>
            <w:tcW w:w="3249" w:type="dxa"/>
            <w:shd w:val="clear" w:color="auto" w:fill="FFFFFF"/>
          </w:tcPr>
          <w:p w14:paraId="34852AD2" w14:textId="77777777" w:rsidR="00581ED5" w:rsidRDefault="00581ED5" w:rsidP="00C35925">
            <w:pPr>
              <w:shd w:val="clear" w:color="auto" w:fill="FFFFFF" w:themeFill="background1"/>
              <w:rPr>
                <w:sz w:val="20"/>
              </w:rPr>
            </w:pPr>
            <w:r w:rsidRPr="00C35925">
              <w:rPr>
                <w:sz w:val="20"/>
              </w:rPr>
              <w:t xml:space="preserve">Healthy Aquatic Ecosystems Review </w:t>
            </w:r>
          </w:p>
          <w:p w14:paraId="6F60993F" w14:textId="77777777" w:rsidR="00581ED5" w:rsidRDefault="00581ED5" w:rsidP="00C35925">
            <w:pPr>
              <w:shd w:val="clear" w:color="auto" w:fill="FFFFFF" w:themeFill="background1"/>
              <w:rPr>
                <w:sz w:val="20"/>
              </w:rPr>
            </w:pPr>
            <w:r w:rsidRPr="00C35925">
              <w:rPr>
                <w:sz w:val="20"/>
              </w:rPr>
              <w:t xml:space="preserve">That the AWC strike a project team to examine and report on the state of Alberta’s aquatic ecosystem health and its management (by 2022) and identify barriers and opportunities to improve capacity, governance, and accountability (by 2024) for achieving the </w:t>
            </w:r>
            <w:r w:rsidRPr="00C35925">
              <w:rPr>
                <w:i/>
                <w:iCs/>
                <w:sz w:val="20"/>
              </w:rPr>
              <w:t xml:space="preserve">Water for Life </w:t>
            </w:r>
            <w:r w:rsidRPr="00C35925">
              <w:rPr>
                <w:sz w:val="20"/>
              </w:rPr>
              <w:t>goal of healthy aquatic ecosystems.</w:t>
            </w:r>
          </w:p>
          <w:p w14:paraId="7FB3C34C" w14:textId="73C889EF" w:rsidR="00581ED5" w:rsidRPr="00C35925" w:rsidRDefault="00581ED5" w:rsidP="00C35925">
            <w:pPr>
              <w:shd w:val="clear" w:color="auto" w:fill="FFFFFF" w:themeFill="background1"/>
              <w:rPr>
                <w:sz w:val="20"/>
              </w:rPr>
            </w:pPr>
          </w:p>
        </w:tc>
        <w:tc>
          <w:tcPr>
            <w:tcW w:w="2790" w:type="dxa"/>
            <w:gridSpan w:val="2"/>
            <w:shd w:val="clear" w:color="auto" w:fill="FFFFFF"/>
          </w:tcPr>
          <w:p w14:paraId="2E583139" w14:textId="23E882EB" w:rsidR="00581ED5" w:rsidRDefault="00581ED5" w:rsidP="00B95131">
            <w:pPr>
              <w:shd w:val="clear" w:color="auto" w:fill="FFFFFF" w:themeFill="background1"/>
              <w:rPr>
                <w:szCs w:val="24"/>
              </w:rPr>
            </w:pPr>
            <w:r>
              <w:rPr>
                <w:szCs w:val="24"/>
              </w:rPr>
              <w:t>Alberta Water Council</w:t>
            </w:r>
          </w:p>
        </w:tc>
        <w:tc>
          <w:tcPr>
            <w:tcW w:w="2340" w:type="dxa"/>
            <w:shd w:val="clear" w:color="auto" w:fill="FFFFFF"/>
          </w:tcPr>
          <w:p w14:paraId="08651FDE" w14:textId="45B54CFC" w:rsidR="00581ED5" w:rsidRDefault="00581ED5" w:rsidP="00C35925">
            <w:pPr>
              <w:shd w:val="clear" w:color="auto" w:fill="FFFFFF" w:themeFill="background1"/>
              <w:jc w:val="center"/>
              <w:rPr>
                <w:szCs w:val="24"/>
              </w:rPr>
            </w:pPr>
            <w:r>
              <w:rPr>
                <w:szCs w:val="24"/>
              </w:rPr>
              <w:t>2024</w:t>
            </w:r>
          </w:p>
        </w:tc>
        <w:tc>
          <w:tcPr>
            <w:tcW w:w="2970" w:type="dxa"/>
            <w:shd w:val="clear" w:color="auto" w:fill="B8D779" w:themeFill="accent4" w:themeFillTint="99"/>
          </w:tcPr>
          <w:p w14:paraId="2A84380E" w14:textId="4D3F875D" w:rsidR="00581ED5" w:rsidRPr="001E703B" w:rsidRDefault="00581ED5" w:rsidP="00794216">
            <w:pPr>
              <w:shd w:val="clear" w:color="auto" w:fill="FFFFFF" w:themeFill="background1"/>
              <w:jc w:val="center"/>
            </w:pPr>
            <w:r w:rsidRPr="00794216">
              <w:t>Pending – to be completed</w:t>
            </w:r>
          </w:p>
        </w:tc>
        <w:tc>
          <w:tcPr>
            <w:tcW w:w="2790" w:type="dxa"/>
            <w:shd w:val="clear" w:color="auto" w:fill="B8D779" w:themeFill="accent4" w:themeFillTint="99"/>
          </w:tcPr>
          <w:p w14:paraId="00D7BE0E" w14:textId="244D8123" w:rsidR="00581ED5" w:rsidRDefault="00E16573" w:rsidP="00B95131">
            <w:pPr>
              <w:shd w:val="clear" w:color="auto" w:fill="FFFFFF" w:themeFill="background1"/>
              <w:rPr>
                <w:sz w:val="20"/>
              </w:rPr>
            </w:pPr>
            <w:r w:rsidRPr="00794216">
              <w:t>Pending – to be completed</w:t>
            </w:r>
          </w:p>
        </w:tc>
        <w:tc>
          <w:tcPr>
            <w:tcW w:w="8370" w:type="dxa"/>
            <w:shd w:val="clear" w:color="auto" w:fill="FFFFFF"/>
          </w:tcPr>
          <w:p w14:paraId="2D67319A" w14:textId="2661777E" w:rsidR="00581ED5" w:rsidRPr="001E703B" w:rsidRDefault="00B27C4A" w:rsidP="00B95131">
            <w:pPr>
              <w:shd w:val="clear" w:color="auto" w:fill="FFFFFF" w:themeFill="background1"/>
              <w:rPr>
                <w:sz w:val="20"/>
              </w:rPr>
            </w:pPr>
            <w:r>
              <w:rPr>
                <w:sz w:val="20"/>
              </w:rPr>
              <w:t>This project idea will be considered by the board at a future project selection meeting.</w:t>
            </w:r>
          </w:p>
        </w:tc>
      </w:tr>
      <w:tr w:rsidR="00581ED5" w:rsidRPr="001E703B" w14:paraId="503D2034" w14:textId="77777777" w:rsidTr="00E16573">
        <w:tc>
          <w:tcPr>
            <w:tcW w:w="706" w:type="dxa"/>
            <w:shd w:val="clear" w:color="auto" w:fill="FFFFFF"/>
          </w:tcPr>
          <w:p w14:paraId="36CEF2FE" w14:textId="54093AB0" w:rsidR="00581ED5" w:rsidRDefault="00581ED5" w:rsidP="00B95131">
            <w:pPr>
              <w:shd w:val="clear" w:color="auto" w:fill="FFFFFF" w:themeFill="background1"/>
              <w:jc w:val="center"/>
            </w:pPr>
            <w:r>
              <w:t>8</w:t>
            </w:r>
          </w:p>
        </w:tc>
        <w:tc>
          <w:tcPr>
            <w:tcW w:w="3249" w:type="dxa"/>
            <w:shd w:val="clear" w:color="auto" w:fill="FFFFFF"/>
          </w:tcPr>
          <w:p w14:paraId="233D30EE" w14:textId="77777777" w:rsidR="00581ED5" w:rsidRDefault="00581ED5" w:rsidP="00C35925">
            <w:pPr>
              <w:shd w:val="clear" w:color="auto" w:fill="FFFFFF" w:themeFill="background1"/>
              <w:rPr>
                <w:sz w:val="20"/>
              </w:rPr>
            </w:pPr>
            <w:r w:rsidRPr="00C35925">
              <w:rPr>
                <w:sz w:val="20"/>
              </w:rPr>
              <w:t xml:space="preserve">Water Use Data </w:t>
            </w:r>
          </w:p>
          <w:p w14:paraId="02F53BC5" w14:textId="1502B096" w:rsidR="00581ED5" w:rsidRDefault="00581ED5" w:rsidP="00C35925">
            <w:pPr>
              <w:shd w:val="clear" w:color="auto" w:fill="FFFFFF" w:themeFill="background1"/>
              <w:rPr>
                <w:sz w:val="20"/>
              </w:rPr>
            </w:pPr>
            <w:r w:rsidRPr="00C35925">
              <w:rPr>
                <w:sz w:val="20"/>
              </w:rPr>
              <w:t>That the GoA improve our knowledge of water use by finding a mechanism to make licensed actual water use data publicly available by 2022.</w:t>
            </w:r>
          </w:p>
          <w:p w14:paraId="3C4CCA39" w14:textId="17C530FE" w:rsidR="00581ED5" w:rsidRPr="00C35925" w:rsidRDefault="00581ED5" w:rsidP="00C35925">
            <w:pPr>
              <w:shd w:val="clear" w:color="auto" w:fill="FFFFFF" w:themeFill="background1"/>
              <w:rPr>
                <w:sz w:val="20"/>
              </w:rPr>
            </w:pPr>
          </w:p>
        </w:tc>
        <w:tc>
          <w:tcPr>
            <w:tcW w:w="2790" w:type="dxa"/>
            <w:gridSpan w:val="2"/>
            <w:shd w:val="clear" w:color="auto" w:fill="FFFFFF"/>
          </w:tcPr>
          <w:p w14:paraId="68F6BF47" w14:textId="1D1B67B0" w:rsidR="00581ED5" w:rsidRDefault="00581ED5" w:rsidP="00B95131">
            <w:pPr>
              <w:shd w:val="clear" w:color="auto" w:fill="FFFFFF" w:themeFill="background1"/>
              <w:rPr>
                <w:szCs w:val="24"/>
              </w:rPr>
            </w:pPr>
            <w:r>
              <w:rPr>
                <w:szCs w:val="24"/>
              </w:rPr>
              <w:t>Government of Alberta</w:t>
            </w:r>
          </w:p>
        </w:tc>
        <w:tc>
          <w:tcPr>
            <w:tcW w:w="2340" w:type="dxa"/>
            <w:shd w:val="clear" w:color="auto" w:fill="FFFFFF"/>
          </w:tcPr>
          <w:p w14:paraId="5D14E713" w14:textId="5AFDC88E" w:rsidR="00581ED5" w:rsidRDefault="00581ED5" w:rsidP="00C35925">
            <w:pPr>
              <w:shd w:val="clear" w:color="auto" w:fill="FFFFFF" w:themeFill="background1"/>
              <w:jc w:val="center"/>
              <w:rPr>
                <w:szCs w:val="24"/>
              </w:rPr>
            </w:pPr>
            <w:r>
              <w:rPr>
                <w:szCs w:val="24"/>
              </w:rPr>
              <w:t>2022</w:t>
            </w:r>
          </w:p>
        </w:tc>
        <w:tc>
          <w:tcPr>
            <w:tcW w:w="2970" w:type="dxa"/>
            <w:shd w:val="clear" w:color="auto" w:fill="B8D779" w:themeFill="accent4" w:themeFillTint="99"/>
          </w:tcPr>
          <w:p w14:paraId="05F1AD68" w14:textId="13545433" w:rsidR="00581ED5" w:rsidRPr="001E703B" w:rsidRDefault="00E16573" w:rsidP="00D81CA2">
            <w:pPr>
              <w:shd w:val="clear" w:color="auto" w:fill="FFFFFF" w:themeFill="background1"/>
              <w:jc w:val="center"/>
            </w:pPr>
            <w:r w:rsidRPr="00794216">
              <w:t>Pending – to be completed</w:t>
            </w:r>
          </w:p>
        </w:tc>
        <w:tc>
          <w:tcPr>
            <w:tcW w:w="2790" w:type="dxa"/>
            <w:shd w:val="clear" w:color="auto" w:fill="B8D779" w:themeFill="accent4" w:themeFillTint="99"/>
          </w:tcPr>
          <w:p w14:paraId="567FD872" w14:textId="6F4FFA15" w:rsidR="00581ED5" w:rsidRPr="00D81CA2" w:rsidRDefault="00E16573" w:rsidP="00D81CA2">
            <w:pPr>
              <w:shd w:val="clear" w:color="auto" w:fill="FFFFFF" w:themeFill="background1"/>
              <w:rPr>
                <w:sz w:val="20"/>
              </w:rPr>
            </w:pPr>
            <w:r w:rsidRPr="00794216">
              <w:t xml:space="preserve">Pending – </w:t>
            </w:r>
            <w:r w:rsidR="00B27C4A">
              <w:t>Uncertain</w:t>
            </w:r>
          </w:p>
        </w:tc>
        <w:tc>
          <w:tcPr>
            <w:tcW w:w="8370" w:type="dxa"/>
            <w:shd w:val="clear" w:color="auto" w:fill="FFFFFF"/>
          </w:tcPr>
          <w:p w14:paraId="2DAACF32" w14:textId="1F561294" w:rsidR="00B27C4A" w:rsidRPr="00B27C4A" w:rsidRDefault="00B27C4A" w:rsidP="00B27C4A">
            <w:pPr>
              <w:shd w:val="clear" w:color="auto" w:fill="FFFFFF" w:themeFill="background1"/>
              <w:rPr>
                <w:sz w:val="20"/>
              </w:rPr>
            </w:pPr>
            <w:r w:rsidRPr="00B27C4A">
              <w:rPr>
                <w:sz w:val="20"/>
              </w:rPr>
              <w:t xml:space="preserve">EPA is in the process of transforming its regulatory system. As part of this transformation, a Digital Regulatory Assurance System (DRAS) has transitioned its management of water licenses, including water use reporting into a single system. EPA is during a transition from legacy systems (Water Use Reporting System - WURS) to DRAS that will populate the existing license information in the system, which will also enable the input of water use data. </w:t>
            </w:r>
          </w:p>
          <w:p w14:paraId="0CDB8384" w14:textId="77777777" w:rsidR="00B27C4A" w:rsidRPr="00B27C4A" w:rsidRDefault="00B27C4A" w:rsidP="00B27C4A">
            <w:pPr>
              <w:shd w:val="clear" w:color="auto" w:fill="FFFFFF" w:themeFill="background1"/>
              <w:rPr>
                <w:sz w:val="20"/>
              </w:rPr>
            </w:pPr>
          </w:p>
          <w:p w14:paraId="5C5103F7" w14:textId="51389F73" w:rsidR="00B27C4A" w:rsidRPr="00B27C4A" w:rsidRDefault="00B27C4A" w:rsidP="00B27C4A">
            <w:pPr>
              <w:shd w:val="clear" w:color="auto" w:fill="FFFFFF" w:themeFill="background1"/>
              <w:rPr>
                <w:sz w:val="20"/>
              </w:rPr>
            </w:pPr>
            <w:r w:rsidRPr="00B27C4A">
              <w:rPr>
                <w:sz w:val="20"/>
              </w:rPr>
              <w:t xml:space="preserve">Water use data collected through DRAS will be sent to a data management platform (DMP) which is where it will be combined with the Alberta Energy Regulator (AER) and historical water use data for extraction, and analysis and public reporting. Both DRAS and DMP is under development and EPA is working closely with AER to ensure data integration. </w:t>
            </w:r>
          </w:p>
          <w:p w14:paraId="2B121098" w14:textId="77777777" w:rsidR="00B27C4A" w:rsidRPr="00B27C4A" w:rsidRDefault="00B27C4A" w:rsidP="00B27C4A">
            <w:pPr>
              <w:shd w:val="clear" w:color="auto" w:fill="FFFFFF" w:themeFill="background1"/>
              <w:rPr>
                <w:sz w:val="20"/>
              </w:rPr>
            </w:pPr>
          </w:p>
          <w:p w14:paraId="6F136657" w14:textId="77777777" w:rsidR="00B27C4A" w:rsidRPr="00B27C4A" w:rsidRDefault="00B27C4A" w:rsidP="00B27C4A">
            <w:pPr>
              <w:shd w:val="clear" w:color="auto" w:fill="FFFFFF" w:themeFill="background1"/>
              <w:rPr>
                <w:sz w:val="20"/>
              </w:rPr>
            </w:pPr>
            <w:r w:rsidRPr="00B27C4A">
              <w:rPr>
                <w:sz w:val="20"/>
              </w:rPr>
              <w:t xml:space="preserve">EPA will be able to enable making licensed water use data publicly available once the integration of EPA, AER and legacy data has been achieved through development of DRAS and DMP. A </w:t>
            </w:r>
            <w:r w:rsidRPr="00B27C4A">
              <w:rPr>
                <w:sz w:val="20"/>
              </w:rPr>
              <w:lastRenderedPageBreak/>
              <w:t>combination of business and technical resources across EPA, AER, and Technology and Innovation (TI) are currently focused on developing these systems.</w:t>
            </w:r>
          </w:p>
          <w:p w14:paraId="564A109D" w14:textId="77777777" w:rsidR="00B27C4A" w:rsidRPr="00B27C4A" w:rsidRDefault="00B27C4A" w:rsidP="00B27C4A">
            <w:pPr>
              <w:shd w:val="clear" w:color="auto" w:fill="FFFFFF" w:themeFill="background1"/>
              <w:rPr>
                <w:sz w:val="20"/>
              </w:rPr>
            </w:pPr>
          </w:p>
          <w:p w14:paraId="726C3E5C" w14:textId="77777777" w:rsidR="00B27C4A" w:rsidRPr="00B27C4A" w:rsidRDefault="00B27C4A" w:rsidP="00B27C4A">
            <w:pPr>
              <w:shd w:val="clear" w:color="auto" w:fill="FFFFFF" w:themeFill="background1"/>
              <w:rPr>
                <w:sz w:val="20"/>
              </w:rPr>
            </w:pPr>
            <w:r w:rsidRPr="00B27C4A">
              <w:rPr>
                <w:sz w:val="20"/>
              </w:rPr>
              <w:t>This effort also includes transitioning existing water licenses and water use reporting from legacy systems (Water Use Reporting System – WURS) to DRAS and DMP. Work is underway to build functionality to enable this transition. Once technical development is complete, EPA will be able to communicate with and support existing water license holders to make the transition to DRAS.</w:t>
            </w:r>
          </w:p>
          <w:p w14:paraId="3DA13BC5" w14:textId="508870C0" w:rsidR="00B27C4A" w:rsidRPr="00B27C4A" w:rsidRDefault="00B27C4A" w:rsidP="00B27C4A">
            <w:pPr>
              <w:shd w:val="clear" w:color="auto" w:fill="FFFFFF" w:themeFill="background1"/>
              <w:rPr>
                <w:sz w:val="20"/>
              </w:rPr>
            </w:pPr>
            <w:r w:rsidRPr="00B27C4A">
              <w:rPr>
                <w:sz w:val="20"/>
              </w:rPr>
              <w:t>The DMP roadmap is evolving and one of the foundational services offerings is data sharing between regulators and among GoA departments. This service offering will potentially be expanding to include other partners, stakeholders, and citizens.</w:t>
            </w:r>
          </w:p>
          <w:p w14:paraId="6D7EC137" w14:textId="77777777" w:rsidR="00B27C4A" w:rsidRPr="00B27C4A" w:rsidRDefault="00B27C4A" w:rsidP="00B27C4A">
            <w:pPr>
              <w:shd w:val="clear" w:color="auto" w:fill="FFFFFF" w:themeFill="background1"/>
              <w:rPr>
                <w:sz w:val="20"/>
              </w:rPr>
            </w:pPr>
          </w:p>
          <w:p w14:paraId="2EEDEB89" w14:textId="48EE55E0" w:rsidR="00581ED5" w:rsidRDefault="00B27C4A" w:rsidP="00B27C4A">
            <w:pPr>
              <w:shd w:val="clear" w:color="auto" w:fill="FFFFFF" w:themeFill="background1"/>
              <w:rPr>
                <w:sz w:val="20"/>
              </w:rPr>
            </w:pPr>
            <w:r w:rsidRPr="00B27C4A">
              <w:rPr>
                <w:sz w:val="20"/>
              </w:rPr>
              <w:t>User testing to confirm the system is functioning in an accessible manner is underway and once this functionality passes testing, will be rolled out in phases with key stakeholder groups. EPA will transition all users of the WURS to DRAS as a priority to ensure that the water use data currently being collected by EPA is consolidated into DRAS. AER will be using WURS until such time as it establishes its own replacement reporting functionality.</w:t>
            </w:r>
            <w:r>
              <w:rPr>
                <w:sz w:val="20"/>
              </w:rPr>
              <w:t xml:space="preserve"> </w:t>
            </w:r>
            <w:r w:rsidRPr="00B27C4A">
              <w:rPr>
                <w:sz w:val="20"/>
              </w:rPr>
              <w:t>The collection of water license data and the reporting of the actual use is a part of the project.</w:t>
            </w:r>
            <w:r>
              <w:rPr>
                <w:sz w:val="20"/>
              </w:rPr>
              <w:t xml:space="preserve"> EPA</w:t>
            </w:r>
            <w:r w:rsidRPr="00B27C4A">
              <w:rPr>
                <w:sz w:val="20"/>
              </w:rPr>
              <w:t xml:space="preserve"> and AER are working together to discuss water license data collection, systems, and reporting.</w:t>
            </w:r>
          </w:p>
          <w:p w14:paraId="239618AB" w14:textId="462F1FB0" w:rsidR="00B27C4A" w:rsidRPr="001E703B" w:rsidRDefault="00B27C4A" w:rsidP="00B27C4A">
            <w:pPr>
              <w:shd w:val="clear" w:color="auto" w:fill="FFFFFF" w:themeFill="background1"/>
              <w:rPr>
                <w:sz w:val="20"/>
              </w:rPr>
            </w:pPr>
          </w:p>
        </w:tc>
      </w:tr>
      <w:tr w:rsidR="00581ED5" w:rsidRPr="001E703B" w14:paraId="716462F0" w14:textId="77777777" w:rsidTr="00E16573">
        <w:tc>
          <w:tcPr>
            <w:tcW w:w="706" w:type="dxa"/>
            <w:shd w:val="clear" w:color="auto" w:fill="FFFFFF"/>
          </w:tcPr>
          <w:p w14:paraId="3D21FBD6" w14:textId="33349609" w:rsidR="00581ED5" w:rsidRDefault="00581ED5" w:rsidP="00B95131">
            <w:pPr>
              <w:shd w:val="clear" w:color="auto" w:fill="FFFFFF" w:themeFill="background1"/>
              <w:jc w:val="center"/>
            </w:pPr>
            <w:r>
              <w:lastRenderedPageBreak/>
              <w:t>9</w:t>
            </w:r>
          </w:p>
        </w:tc>
        <w:tc>
          <w:tcPr>
            <w:tcW w:w="3249" w:type="dxa"/>
            <w:shd w:val="clear" w:color="auto" w:fill="FFFFFF"/>
          </w:tcPr>
          <w:p w14:paraId="074CB416" w14:textId="77777777" w:rsidR="00581ED5" w:rsidRDefault="00581ED5" w:rsidP="00C35925">
            <w:pPr>
              <w:shd w:val="clear" w:color="auto" w:fill="FFFFFF" w:themeFill="background1"/>
              <w:rPr>
                <w:sz w:val="20"/>
              </w:rPr>
            </w:pPr>
            <w:r w:rsidRPr="00C35925">
              <w:rPr>
                <w:sz w:val="20"/>
              </w:rPr>
              <w:t xml:space="preserve">Sustainable Economy </w:t>
            </w:r>
          </w:p>
          <w:p w14:paraId="5BC71E8D" w14:textId="62ACE0E4" w:rsidR="00581ED5" w:rsidRPr="00C35925" w:rsidRDefault="00581ED5" w:rsidP="00C35925">
            <w:pPr>
              <w:shd w:val="clear" w:color="auto" w:fill="FFFFFF" w:themeFill="background1"/>
              <w:rPr>
                <w:sz w:val="20"/>
              </w:rPr>
            </w:pPr>
            <w:r w:rsidRPr="00C35925">
              <w:rPr>
                <w:sz w:val="20"/>
              </w:rPr>
              <w:t>That the AWC explore and provide advice to the GoA (by 2024) on what “sustainable economy” is in terms of Reliable Quality Water Supplies for a Sustainable Economy and 2) what the policy implications of various options, such as increased storage, improved efficiency, reduced administrative barriers, or sector water supply assistance programs, are to ensure this goal is achieved in the future, recognizing that solutions might look different in different regions and/or to different sectors.</w:t>
            </w:r>
          </w:p>
        </w:tc>
        <w:tc>
          <w:tcPr>
            <w:tcW w:w="2790" w:type="dxa"/>
            <w:gridSpan w:val="2"/>
            <w:shd w:val="clear" w:color="auto" w:fill="FFFFFF"/>
          </w:tcPr>
          <w:p w14:paraId="00EBF0F3" w14:textId="00CCBB6E" w:rsidR="00581ED5" w:rsidRDefault="00581ED5" w:rsidP="00B95131">
            <w:pPr>
              <w:shd w:val="clear" w:color="auto" w:fill="FFFFFF" w:themeFill="background1"/>
              <w:rPr>
                <w:szCs w:val="24"/>
              </w:rPr>
            </w:pPr>
            <w:r>
              <w:rPr>
                <w:szCs w:val="24"/>
              </w:rPr>
              <w:t>Alberta Water Council</w:t>
            </w:r>
          </w:p>
        </w:tc>
        <w:tc>
          <w:tcPr>
            <w:tcW w:w="2340" w:type="dxa"/>
            <w:shd w:val="clear" w:color="auto" w:fill="FFFFFF"/>
          </w:tcPr>
          <w:p w14:paraId="76875910" w14:textId="3B5DF12A" w:rsidR="00581ED5" w:rsidRDefault="00581ED5" w:rsidP="00C35925">
            <w:pPr>
              <w:shd w:val="clear" w:color="auto" w:fill="FFFFFF" w:themeFill="background1"/>
              <w:jc w:val="center"/>
              <w:rPr>
                <w:szCs w:val="24"/>
              </w:rPr>
            </w:pPr>
            <w:r>
              <w:rPr>
                <w:szCs w:val="24"/>
              </w:rPr>
              <w:t>2024</w:t>
            </w:r>
          </w:p>
        </w:tc>
        <w:tc>
          <w:tcPr>
            <w:tcW w:w="2970" w:type="dxa"/>
            <w:shd w:val="clear" w:color="auto" w:fill="B8D779" w:themeFill="accent4" w:themeFillTint="99"/>
          </w:tcPr>
          <w:p w14:paraId="4170C342" w14:textId="45BF0451" w:rsidR="00581ED5" w:rsidRPr="001E703B" w:rsidRDefault="00E16573" w:rsidP="00794216">
            <w:pPr>
              <w:shd w:val="clear" w:color="auto" w:fill="FFFFFF" w:themeFill="background1"/>
              <w:jc w:val="center"/>
            </w:pPr>
            <w:r w:rsidRPr="00794216">
              <w:t>Pending – to be completed</w:t>
            </w:r>
          </w:p>
        </w:tc>
        <w:tc>
          <w:tcPr>
            <w:tcW w:w="2790" w:type="dxa"/>
            <w:shd w:val="clear" w:color="auto" w:fill="B8D779" w:themeFill="accent4" w:themeFillTint="99"/>
          </w:tcPr>
          <w:p w14:paraId="5F878966" w14:textId="4C157B61" w:rsidR="00581ED5" w:rsidRDefault="00E16573" w:rsidP="00B95131">
            <w:pPr>
              <w:shd w:val="clear" w:color="auto" w:fill="FFFFFF" w:themeFill="background1"/>
              <w:rPr>
                <w:sz w:val="20"/>
              </w:rPr>
            </w:pPr>
            <w:r w:rsidRPr="00794216">
              <w:t>Pending – to be completed</w:t>
            </w:r>
          </w:p>
        </w:tc>
        <w:tc>
          <w:tcPr>
            <w:tcW w:w="8370" w:type="dxa"/>
            <w:shd w:val="clear" w:color="auto" w:fill="FFFFFF"/>
          </w:tcPr>
          <w:p w14:paraId="1DFF9784" w14:textId="77777777" w:rsidR="00581ED5" w:rsidRPr="001E703B" w:rsidRDefault="00581ED5" w:rsidP="00B95131">
            <w:pPr>
              <w:shd w:val="clear" w:color="auto" w:fill="FFFFFF" w:themeFill="background1"/>
              <w:rPr>
                <w:sz w:val="20"/>
              </w:rPr>
            </w:pPr>
            <w:r>
              <w:rPr>
                <w:sz w:val="20"/>
              </w:rPr>
              <w:t>This project idea will be considered by the board at a future project selection meeting.</w:t>
            </w:r>
          </w:p>
        </w:tc>
      </w:tr>
      <w:tr w:rsidR="00581ED5" w:rsidRPr="001E703B" w14:paraId="16088BB9" w14:textId="77777777" w:rsidTr="00E16573">
        <w:tc>
          <w:tcPr>
            <w:tcW w:w="706" w:type="dxa"/>
            <w:shd w:val="clear" w:color="auto" w:fill="FFFFFF"/>
          </w:tcPr>
          <w:p w14:paraId="61AA88CA" w14:textId="4A603CAB" w:rsidR="00581ED5" w:rsidRDefault="00581ED5" w:rsidP="00B95131">
            <w:pPr>
              <w:shd w:val="clear" w:color="auto" w:fill="FFFFFF" w:themeFill="background1"/>
              <w:jc w:val="center"/>
            </w:pPr>
            <w:r>
              <w:t>10</w:t>
            </w:r>
          </w:p>
        </w:tc>
        <w:tc>
          <w:tcPr>
            <w:tcW w:w="3249" w:type="dxa"/>
            <w:shd w:val="clear" w:color="auto" w:fill="FFFFFF"/>
          </w:tcPr>
          <w:p w14:paraId="0F4D2566" w14:textId="77777777" w:rsidR="00581ED5" w:rsidRDefault="00581ED5" w:rsidP="00C35925">
            <w:pPr>
              <w:shd w:val="clear" w:color="auto" w:fill="FFFFFF" w:themeFill="background1"/>
              <w:rPr>
                <w:sz w:val="20"/>
              </w:rPr>
            </w:pPr>
            <w:r w:rsidRPr="00C35925">
              <w:rPr>
                <w:sz w:val="20"/>
              </w:rPr>
              <w:t xml:space="preserve">Improved modelling </w:t>
            </w:r>
          </w:p>
          <w:p w14:paraId="1EBBACE5" w14:textId="007E7B4F" w:rsidR="00581ED5" w:rsidRDefault="00581ED5" w:rsidP="00C35925">
            <w:pPr>
              <w:shd w:val="clear" w:color="auto" w:fill="FFFFFF" w:themeFill="background1"/>
              <w:rPr>
                <w:sz w:val="20"/>
              </w:rPr>
            </w:pPr>
            <w:r w:rsidRPr="00C35925">
              <w:rPr>
                <w:sz w:val="20"/>
              </w:rPr>
              <w:t>That the GoA and its partners work to improve water supply and demand modelling, including scenario-building and forecasting (particularly in light of population growth, economic development, cumulative effects, and climate variability), periodically updating the AWC and its partners on their learnings and how such information can inform policy and other decision makers (ongoing).</w:t>
            </w:r>
          </w:p>
          <w:p w14:paraId="664E8A4B" w14:textId="04ADE876" w:rsidR="00581ED5" w:rsidRPr="00C35925" w:rsidRDefault="00581ED5" w:rsidP="00C35925">
            <w:pPr>
              <w:shd w:val="clear" w:color="auto" w:fill="FFFFFF" w:themeFill="background1"/>
              <w:rPr>
                <w:sz w:val="20"/>
              </w:rPr>
            </w:pPr>
          </w:p>
        </w:tc>
        <w:tc>
          <w:tcPr>
            <w:tcW w:w="2790" w:type="dxa"/>
            <w:gridSpan w:val="2"/>
            <w:shd w:val="clear" w:color="auto" w:fill="FFFFFF"/>
          </w:tcPr>
          <w:p w14:paraId="6E1C4213" w14:textId="0396F638" w:rsidR="00581ED5" w:rsidRDefault="00581ED5" w:rsidP="00B95131">
            <w:pPr>
              <w:shd w:val="clear" w:color="auto" w:fill="FFFFFF" w:themeFill="background1"/>
              <w:rPr>
                <w:szCs w:val="24"/>
              </w:rPr>
            </w:pPr>
            <w:r>
              <w:rPr>
                <w:szCs w:val="24"/>
              </w:rPr>
              <w:t>Government of Alberta</w:t>
            </w:r>
          </w:p>
        </w:tc>
        <w:tc>
          <w:tcPr>
            <w:tcW w:w="2340" w:type="dxa"/>
            <w:shd w:val="clear" w:color="auto" w:fill="FFFFFF"/>
          </w:tcPr>
          <w:p w14:paraId="4D1FC325" w14:textId="18F9199A" w:rsidR="00581ED5" w:rsidRDefault="00581ED5" w:rsidP="00C35925">
            <w:pPr>
              <w:shd w:val="clear" w:color="auto" w:fill="FFFFFF" w:themeFill="background1"/>
              <w:jc w:val="center"/>
              <w:rPr>
                <w:szCs w:val="24"/>
              </w:rPr>
            </w:pPr>
            <w:r>
              <w:rPr>
                <w:szCs w:val="24"/>
              </w:rPr>
              <w:t>Ongoing long-term</w:t>
            </w:r>
          </w:p>
        </w:tc>
        <w:tc>
          <w:tcPr>
            <w:tcW w:w="2970" w:type="dxa"/>
            <w:shd w:val="clear" w:color="auto" w:fill="B8D779" w:themeFill="accent4" w:themeFillTint="99"/>
          </w:tcPr>
          <w:p w14:paraId="568E402D" w14:textId="14A1042D" w:rsidR="00581ED5" w:rsidRPr="001E703B" w:rsidRDefault="00581ED5" w:rsidP="00D81CA2">
            <w:pPr>
              <w:shd w:val="clear" w:color="auto" w:fill="FFFFFF" w:themeFill="background1"/>
              <w:jc w:val="center"/>
            </w:pPr>
            <w:r>
              <w:t>Pending - Uncertain</w:t>
            </w:r>
          </w:p>
        </w:tc>
        <w:tc>
          <w:tcPr>
            <w:tcW w:w="2790" w:type="dxa"/>
            <w:shd w:val="clear" w:color="auto" w:fill="B8D779" w:themeFill="accent4" w:themeFillTint="99"/>
          </w:tcPr>
          <w:p w14:paraId="6C367FFA" w14:textId="4C439BA2" w:rsidR="00581ED5" w:rsidRPr="00D81CA2" w:rsidRDefault="00E16573" w:rsidP="00B95131">
            <w:pPr>
              <w:shd w:val="clear" w:color="auto" w:fill="FFFFFF" w:themeFill="background1"/>
              <w:rPr>
                <w:sz w:val="20"/>
              </w:rPr>
            </w:pPr>
            <w:r w:rsidRPr="00E16573">
              <w:rPr>
                <w:szCs w:val="28"/>
              </w:rPr>
              <w:t xml:space="preserve">Pending </w:t>
            </w:r>
            <w:r w:rsidR="00B27C4A">
              <w:rPr>
                <w:szCs w:val="28"/>
              </w:rPr>
              <w:t>–</w:t>
            </w:r>
            <w:r w:rsidRPr="00E16573">
              <w:rPr>
                <w:szCs w:val="28"/>
              </w:rPr>
              <w:t xml:space="preserve"> </w:t>
            </w:r>
            <w:r w:rsidR="00B27C4A">
              <w:rPr>
                <w:szCs w:val="28"/>
              </w:rPr>
              <w:t>to be completed</w:t>
            </w:r>
          </w:p>
        </w:tc>
        <w:tc>
          <w:tcPr>
            <w:tcW w:w="8370" w:type="dxa"/>
            <w:shd w:val="clear" w:color="auto" w:fill="FFFFFF"/>
          </w:tcPr>
          <w:p w14:paraId="365ADFB4" w14:textId="77777777" w:rsidR="00B27C4A" w:rsidRPr="00B27C4A" w:rsidRDefault="00B27C4A" w:rsidP="00B27C4A">
            <w:pPr>
              <w:shd w:val="clear" w:color="auto" w:fill="FFFFFF" w:themeFill="background1"/>
              <w:rPr>
                <w:sz w:val="20"/>
              </w:rPr>
            </w:pPr>
            <w:r w:rsidRPr="00B27C4A">
              <w:rPr>
                <w:sz w:val="20"/>
              </w:rPr>
              <w:t>The River Forecast Centre (RFC) continued to invest in the Alberta River Forecast System-Flood Early Warning System (ARFS-FEWS) by adding new functionality including snow water equivalent information and enhanced satellite imagery capabilities. These new functionalities support river ice monitoring, water supply modelling and flow forecasting. ARFS-FEWS is a centralized system that allows river forecasters to view measured precipitation, river conditions, weather forecasts, and satellite imagery all at once in a single platform. It is estimated the new system will enable river forecasters to produce flow forecasts 30 per cent faster than before.</w:t>
            </w:r>
          </w:p>
          <w:p w14:paraId="5744D87A" w14:textId="77777777" w:rsidR="00B27C4A" w:rsidRPr="00B27C4A" w:rsidRDefault="00B27C4A" w:rsidP="00B27C4A">
            <w:pPr>
              <w:shd w:val="clear" w:color="auto" w:fill="FFFFFF" w:themeFill="background1"/>
              <w:rPr>
                <w:sz w:val="20"/>
              </w:rPr>
            </w:pPr>
            <w:r w:rsidRPr="00B27C4A">
              <w:rPr>
                <w:sz w:val="20"/>
              </w:rPr>
              <w:t>Additionally, the department is working on the following projects to support and improve modelling in the province:</w:t>
            </w:r>
          </w:p>
          <w:p w14:paraId="34EBF2F4" w14:textId="77777777" w:rsidR="00690833" w:rsidRDefault="00B27C4A" w:rsidP="00B27C4A">
            <w:pPr>
              <w:pStyle w:val="ListParagraph"/>
              <w:numPr>
                <w:ilvl w:val="0"/>
                <w:numId w:val="25"/>
              </w:numPr>
              <w:shd w:val="clear" w:color="auto" w:fill="FFFFFF" w:themeFill="background1"/>
              <w:rPr>
                <w:sz w:val="20"/>
              </w:rPr>
            </w:pPr>
            <w:r w:rsidRPr="00B27C4A">
              <w:rPr>
                <w:sz w:val="20"/>
              </w:rPr>
              <w:t xml:space="preserve">EPA recently completed a comprehensive climate change study for Alberta. This study produced long-term (1950-2019) historical hybrid gridded climate data for the province. In addition, a multivariate downscaling method has been developed and applied to produce up-to-date climate model intercomparison project (CMIP6) high-resolution climate projections (2015-2100) for a subset of 12 representative climate projections selected by a high-dimensional algorithm. </w:t>
            </w:r>
          </w:p>
          <w:p w14:paraId="38086DE9" w14:textId="77777777" w:rsidR="00581ED5" w:rsidRDefault="00B27C4A" w:rsidP="00B27C4A">
            <w:pPr>
              <w:pStyle w:val="ListParagraph"/>
              <w:numPr>
                <w:ilvl w:val="0"/>
                <w:numId w:val="25"/>
              </w:numPr>
              <w:shd w:val="clear" w:color="auto" w:fill="FFFFFF" w:themeFill="background1"/>
              <w:rPr>
                <w:sz w:val="20"/>
              </w:rPr>
            </w:pPr>
            <w:r w:rsidRPr="00690833">
              <w:rPr>
                <w:sz w:val="20"/>
              </w:rPr>
              <w:t xml:space="preserve">EPA is a partner in a project investigating new methods to update reservoir-operating rules considering climate change impacts and future water demands. While the project focuses on the Oldman River and its southern tributaries, the methods developed can be applied </w:t>
            </w:r>
            <w:r w:rsidR="00690833" w:rsidRPr="00690833">
              <w:rPr>
                <w:sz w:val="20"/>
              </w:rPr>
              <w:t>province wide</w:t>
            </w:r>
            <w:r w:rsidRPr="00690833">
              <w:rPr>
                <w:sz w:val="20"/>
              </w:rPr>
              <w:t>. The project expands the modelling capabilities and methods utilized by EPA to achieve more resilient water management infrastructure operations considering population growth, economic development, and climate change impacts.</w:t>
            </w:r>
          </w:p>
          <w:p w14:paraId="2A40E11B" w14:textId="35D5A34F" w:rsidR="00690833" w:rsidRPr="00690833" w:rsidRDefault="00690833" w:rsidP="00690833">
            <w:pPr>
              <w:pStyle w:val="ListParagraph"/>
              <w:shd w:val="clear" w:color="auto" w:fill="FFFFFF" w:themeFill="background1"/>
              <w:rPr>
                <w:sz w:val="20"/>
              </w:rPr>
            </w:pPr>
          </w:p>
        </w:tc>
      </w:tr>
      <w:tr w:rsidR="00E16573" w:rsidRPr="001E703B" w14:paraId="20E1952D" w14:textId="77777777" w:rsidTr="00E9362C">
        <w:tc>
          <w:tcPr>
            <w:tcW w:w="706" w:type="dxa"/>
            <w:shd w:val="clear" w:color="auto" w:fill="FFFFFF"/>
          </w:tcPr>
          <w:p w14:paraId="74FDAB46" w14:textId="5F65C92E" w:rsidR="00E16573" w:rsidRDefault="00E16573" w:rsidP="00B95131">
            <w:pPr>
              <w:shd w:val="clear" w:color="auto" w:fill="FFFFFF" w:themeFill="background1"/>
              <w:jc w:val="center"/>
            </w:pPr>
            <w:r>
              <w:lastRenderedPageBreak/>
              <w:t>11</w:t>
            </w:r>
          </w:p>
        </w:tc>
        <w:tc>
          <w:tcPr>
            <w:tcW w:w="3249" w:type="dxa"/>
            <w:shd w:val="clear" w:color="auto" w:fill="FFFFFF"/>
          </w:tcPr>
          <w:p w14:paraId="2DA28293" w14:textId="77777777" w:rsidR="00E16573" w:rsidRDefault="00E16573" w:rsidP="00C35925">
            <w:pPr>
              <w:shd w:val="clear" w:color="auto" w:fill="FFFFFF" w:themeFill="background1"/>
              <w:rPr>
                <w:sz w:val="20"/>
              </w:rPr>
            </w:pPr>
            <w:r w:rsidRPr="00C35925">
              <w:rPr>
                <w:sz w:val="20"/>
              </w:rPr>
              <w:t xml:space="preserve">Preparedness </w:t>
            </w:r>
          </w:p>
          <w:p w14:paraId="6DDB7C3C" w14:textId="77777777" w:rsidR="00E16573" w:rsidRDefault="00E16573" w:rsidP="00C35925">
            <w:pPr>
              <w:shd w:val="clear" w:color="auto" w:fill="FFFFFF" w:themeFill="background1"/>
              <w:rPr>
                <w:sz w:val="20"/>
              </w:rPr>
            </w:pPr>
            <w:r w:rsidRPr="00C35925">
              <w:rPr>
                <w:sz w:val="20"/>
              </w:rPr>
              <w:t>That the GoA and its agencies (e.g., Alberta Emergency Management Agency) and the AWC continue to work with WPACs and municipalities to promote municipal flood and drought management and to develop planning, best practices, and other informative and user-friendly tools that improve community preparedness1 (ongoing).</w:t>
            </w:r>
          </w:p>
          <w:p w14:paraId="42A09776" w14:textId="4E780819" w:rsidR="00E16573" w:rsidRPr="00C35925" w:rsidRDefault="00E16573" w:rsidP="00C35925">
            <w:pPr>
              <w:shd w:val="clear" w:color="auto" w:fill="FFFFFF" w:themeFill="background1"/>
              <w:rPr>
                <w:sz w:val="20"/>
              </w:rPr>
            </w:pPr>
          </w:p>
        </w:tc>
        <w:tc>
          <w:tcPr>
            <w:tcW w:w="2790" w:type="dxa"/>
            <w:gridSpan w:val="2"/>
            <w:shd w:val="clear" w:color="auto" w:fill="FFFFFF"/>
          </w:tcPr>
          <w:p w14:paraId="25DF6D99" w14:textId="73BA8038" w:rsidR="00E16573" w:rsidRDefault="00E16573" w:rsidP="00B95131">
            <w:pPr>
              <w:shd w:val="clear" w:color="auto" w:fill="FFFFFF" w:themeFill="background1"/>
              <w:rPr>
                <w:szCs w:val="24"/>
              </w:rPr>
            </w:pPr>
            <w:r>
              <w:rPr>
                <w:szCs w:val="24"/>
              </w:rPr>
              <w:t>Government of Alberta</w:t>
            </w:r>
          </w:p>
        </w:tc>
        <w:tc>
          <w:tcPr>
            <w:tcW w:w="2340" w:type="dxa"/>
            <w:shd w:val="clear" w:color="auto" w:fill="FFFFFF"/>
          </w:tcPr>
          <w:p w14:paraId="077C575C" w14:textId="0C398589" w:rsidR="00E16573" w:rsidRDefault="00E16573" w:rsidP="00C35925">
            <w:pPr>
              <w:shd w:val="clear" w:color="auto" w:fill="FFFFFF" w:themeFill="background1"/>
              <w:jc w:val="center"/>
              <w:rPr>
                <w:szCs w:val="24"/>
              </w:rPr>
            </w:pPr>
            <w:r>
              <w:rPr>
                <w:szCs w:val="24"/>
              </w:rPr>
              <w:t>Ongoing long-term</w:t>
            </w:r>
          </w:p>
        </w:tc>
        <w:tc>
          <w:tcPr>
            <w:tcW w:w="5760" w:type="dxa"/>
            <w:gridSpan w:val="2"/>
            <w:vMerge w:val="restart"/>
            <w:shd w:val="clear" w:color="auto" w:fill="A8D6E2" w:themeFill="accent1" w:themeFillTint="66"/>
          </w:tcPr>
          <w:p w14:paraId="4FC70B20" w14:textId="77777777" w:rsidR="00E16573" w:rsidRPr="001E703B" w:rsidRDefault="00E16573" w:rsidP="00780278">
            <w:pPr>
              <w:shd w:val="clear" w:color="auto" w:fill="FFFFFF" w:themeFill="background1"/>
              <w:jc w:val="center"/>
            </w:pPr>
            <w:r>
              <w:t>Implemented as written</w:t>
            </w:r>
          </w:p>
          <w:p w14:paraId="6C073C08" w14:textId="519870D4" w:rsidR="00E16573" w:rsidRPr="00780278" w:rsidRDefault="00E16573" w:rsidP="00E9362C">
            <w:pPr>
              <w:shd w:val="clear" w:color="auto" w:fill="FFFFFF" w:themeFill="background1"/>
              <w:rPr>
                <w:sz w:val="20"/>
              </w:rPr>
            </w:pPr>
          </w:p>
        </w:tc>
        <w:tc>
          <w:tcPr>
            <w:tcW w:w="8370" w:type="dxa"/>
            <w:shd w:val="clear" w:color="auto" w:fill="FFFFFF"/>
          </w:tcPr>
          <w:p w14:paraId="7B53AE52" w14:textId="4D07D085" w:rsidR="00690833" w:rsidRPr="00690833" w:rsidRDefault="00690833" w:rsidP="00690833">
            <w:pPr>
              <w:shd w:val="clear" w:color="auto" w:fill="FFFFFF" w:themeFill="background1"/>
              <w:rPr>
                <w:sz w:val="20"/>
              </w:rPr>
            </w:pPr>
            <w:r w:rsidRPr="00690833">
              <w:rPr>
                <w:sz w:val="20"/>
              </w:rPr>
              <w:t>AEMA engages with municipalities and other stakeholders to support and enhance all aspects of emergency management across the province. AEMA offers municipalities, First Nations and Métis Settlements with emergency management training, planning and exercise supports, and direct engagement and advice during and after an event to assist communities to be better prepare for, respond to, and recover from disasters. In addition, AEMA offers communities access to a free online planning tool and is engaged in the development of a provincial hazard identification and risk assessment tool intended to assist users in developing effective and sustainable mitigation strategies tailored for their communities. EPA) continues to monitor potential flood and drought conditions and has undertaken activities to ensure the department is prepared to respond to water-related environmental emergencies. Improvements to the www.rivers.alberta.ca web app and AB Rivers mobile app were released in March 2022. The improvements were tested during a busy flood season and received overwhelmingly positive feedback from stakeholders. The improvements include the ability to issue flood advisories for smaller and more discrete river basins, as well as colour-coded lines for larger rivers. These changes will provide more precision when the River Forecast Centre is showing the areas under flood advisories.</w:t>
            </w:r>
          </w:p>
          <w:p w14:paraId="1BADE83F" w14:textId="77777777" w:rsidR="00690833" w:rsidRDefault="00690833" w:rsidP="00690833">
            <w:pPr>
              <w:shd w:val="clear" w:color="auto" w:fill="FFFFFF" w:themeFill="background1"/>
              <w:rPr>
                <w:sz w:val="20"/>
              </w:rPr>
            </w:pPr>
          </w:p>
          <w:p w14:paraId="54537307" w14:textId="41BA1B16" w:rsidR="00690833" w:rsidRPr="00690833" w:rsidRDefault="00690833" w:rsidP="00690833">
            <w:pPr>
              <w:shd w:val="clear" w:color="auto" w:fill="FFFFFF" w:themeFill="background1"/>
              <w:rPr>
                <w:sz w:val="20"/>
              </w:rPr>
            </w:pPr>
            <w:r w:rsidRPr="00690833">
              <w:rPr>
                <w:sz w:val="20"/>
              </w:rPr>
              <w:t>Provincial Flood Damage Risk Assessments are being produced for more flood-prone communities. The reports were created in 2022, with engagement scheduled in 2023. When complete, the relevant communities will be aware of their estimated financial exposure to floods of various sizes which will assist in prioritizing flood mitigation activity.</w:t>
            </w:r>
          </w:p>
          <w:p w14:paraId="2070BB79" w14:textId="77777777" w:rsidR="00690833" w:rsidRPr="00690833" w:rsidRDefault="00690833" w:rsidP="00690833">
            <w:pPr>
              <w:shd w:val="clear" w:color="auto" w:fill="FFFFFF" w:themeFill="background1"/>
              <w:rPr>
                <w:sz w:val="20"/>
              </w:rPr>
            </w:pPr>
            <w:r w:rsidRPr="00690833">
              <w:rPr>
                <w:sz w:val="20"/>
              </w:rPr>
              <w:t xml:space="preserve"> </w:t>
            </w:r>
          </w:p>
          <w:p w14:paraId="1FD4C1F6" w14:textId="77777777" w:rsidR="00690833" w:rsidRPr="00690833" w:rsidRDefault="00690833" w:rsidP="00690833">
            <w:pPr>
              <w:shd w:val="clear" w:color="auto" w:fill="FFFFFF" w:themeFill="background1"/>
              <w:rPr>
                <w:sz w:val="20"/>
              </w:rPr>
            </w:pPr>
            <w:r w:rsidRPr="00690833">
              <w:rPr>
                <w:sz w:val="20"/>
              </w:rPr>
              <w:t>Alberta continues to focus on working with municipalities, Indigenous communities, and the public on development of flood inundation and hazard maps for communities at risk.</w:t>
            </w:r>
          </w:p>
          <w:p w14:paraId="0468DFFC" w14:textId="0A315ED1" w:rsidR="00690833" w:rsidRDefault="00690833" w:rsidP="00690833">
            <w:pPr>
              <w:pStyle w:val="ListParagraph"/>
              <w:numPr>
                <w:ilvl w:val="0"/>
                <w:numId w:val="26"/>
              </w:numPr>
              <w:shd w:val="clear" w:color="auto" w:fill="FFFFFF" w:themeFill="background1"/>
              <w:rPr>
                <w:sz w:val="20"/>
              </w:rPr>
            </w:pPr>
            <w:r w:rsidRPr="00690833">
              <w:rPr>
                <w:sz w:val="20"/>
              </w:rPr>
              <w:t>Over 1,500 km of new and updated flood mapping from 21 flood studies are in the final stages of finalization, with draft flood inundation maps currently available online at the Alberta Flood Awareness Application (</w:t>
            </w:r>
            <w:hyperlink r:id="rId10" w:history="1">
              <w:r w:rsidRPr="006E7771">
                <w:rPr>
                  <w:rStyle w:val="Hyperlink"/>
                  <w:sz w:val="20"/>
                </w:rPr>
                <w:t>www.floods.alberta.ca</w:t>
              </w:r>
            </w:hyperlink>
            <w:r w:rsidRPr="00690833">
              <w:rPr>
                <w:sz w:val="20"/>
              </w:rPr>
              <w:t>).</w:t>
            </w:r>
          </w:p>
          <w:p w14:paraId="3AE194CB" w14:textId="77777777" w:rsidR="00690833" w:rsidRDefault="00690833" w:rsidP="00690833">
            <w:pPr>
              <w:pStyle w:val="ListParagraph"/>
              <w:numPr>
                <w:ilvl w:val="0"/>
                <w:numId w:val="26"/>
              </w:numPr>
              <w:shd w:val="clear" w:color="auto" w:fill="FFFFFF" w:themeFill="background1"/>
              <w:rPr>
                <w:sz w:val="20"/>
              </w:rPr>
            </w:pPr>
            <w:r w:rsidRPr="00690833">
              <w:rPr>
                <w:sz w:val="20"/>
              </w:rPr>
              <w:t xml:space="preserve">Improvements to the Flood Awareness Map Application were made throughout the year, including adding new mapping and providing more flood mechanism information. </w:t>
            </w:r>
          </w:p>
          <w:p w14:paraId="225E0BAE" w14:textId="77777777" w:rsidR="00690833" w:rsidRDefault="00690833" w:rsidP="00690833">
            <w:pPr>
              <w:pStyle w:val="ListParagraph"/>
              <w:numPr>
                <w:ilvl w:val="0"/>
                <w:numId w:val="26"/>
              </w:numPr>
              <w:shd w:val="clear" w:color="auto" w:fill="FFFFFF" w:themeFill="background1"/>
              <w:rPr>
                <w:sz w:val="20"/>
              </w:rPr>
            </w:pPr>
            <w:r w:rsidRPr="00690833">
              <w:rPr>
                <w:sz w:val="20"/>
              </w:rPr>
              <w:t>New flood mapping is being used to help illustrate areas at potential risk of flooding this summer, in coordination with advisories and forecasts issued by the River Forecast Centre.</w:t>
            </w:r>
          </w:p>
          <w:p w14:paraId="0C2EBFE5" w14:textId="77777777" w:rsidR="00690833" w:rsidRDefault="00690833" w:rsidP="00690833">
            <w:pPr>
              <w:pStyle w:val="ListParagraph"/>
              <w:numPr>
                <w:ilvl w:val="0"/>
                <w:numId w:val="26"/>
              </w:numPr>
              <w:shd w:val="clear" w:color="auto" w:fill="FFFFFF" w:themeFill="background1"/>
              <w:rPr>
                <w:sz w:val="20"/>
              </w:rPr>
            </w:pPr>
            <w:r w:rsidRPr="00690833">
              <w:rPr>
                <w:sz w:val="20"/>
              </w:rPr>
              <w:t>Draft flood maps and technical reports from six additional studies have been reviewed by local authorities and will be shared with the public to obtain feedback later this year.</w:t>
            </w:r>
          </w:p>
          <w:p w14:paraId="3EA32203" w14:textId="77777777" w:rsidR="00690833" w:rsidRDefault="00690833" w:rsidP="00690833">
            <w:pPr>
              <w:pStyle w:val="ListParagraph"/>
              <w:numPr>
                <w:ilvl w:val="0"/>
                <w:numId w:val="26"/>
              </w:numPr>
              <w:shd w:val="clear" w:color="auto" w:fill="FFFFFF" w:themeFill="background1"/>
              <w:rPr>
                <w:sz w:val="20"/>
              </w:rPr>
            </w:pPr>
            <w:r w:rsidRPr="00690833">
              <w:rPr>
                <w:sz w:val="20"/>
              </w:rPr>
              <w:t>11 new flood mapping studies are underway, with work on four expected to be complete in fall 2023, and work on the newest seven expected to be complete in spring 2024.</w:t>
            </w:r>
          </w:p>
          <w:p w14:paraId="6071FD3F" w14:textId="77777777" w:rsidR="00690833" w:rsidRDefault="00690833" w:rsidP="00690833">
            <w:pPr>
              <w:pStyle w:val="ListParagraph"/>
              <w:numPr>
                <w:ilvl w:val="0"/>
                <w:numId w:val="26"/>
              </w:numPr>
              <w:shd w:val="clear" w:color="auto" w:fill="FFFFFF" w:themeFill="background1"/>
              <w:rPr>
                <w:sz w:val="20"/>
              </w:rPr>
            </w:pPr>
            <w:r w:rsidRPr="00690833">
              <w:rPr>
                <w:sz w:val="20"/>
              </w:rPr>
              <w:t>Alberta continues to maximize co-funding opportunities for new provincial flood studies, by leveraging support from the federal Flood Hazard Identification and Mapping Program.</w:t>
            </w:r>
          </w:p>
          <w:p w14:paraId="73C99153" w14:textId="6E7D0D82" w:rsidR="00690833" w:rsidRPr="00690833" w:rsidRDefault="00690833" w:rsidP="00690833">
            <w:pPr>
              <w:pStyle w:val="ListParagraph"/>
              <w:numPr>
                <w:ilvl w:val="0"/>
                <w:numId w:val="26"/>
              </w:numPr>
              <w:shd w:val="clear" w:color="auto" w:fill="FFFFFF" w:themeFill="background1"/>
              <w:rPr>
                <w:sz w:val="20"/>
              </w:rPr>
            </w:pPr>
            <w:r w:rsidRPr="00690833">
              <w:rPr>
                <w:sz w:val="20"/>
              </w:rPr>
              <w:t>Candidate communities for new flood studies are identified and prioritized using several risk-based factors, and future work plans are continuously updated to reflect new information and emerging needs identified by Albertans.</w:t>
            </w:r>
          </w:p>
          <w:p w14:paraId="16D90E26" w14:textId="77777777" w:rsidR="00690833" w:rsidRPr="00690833" w:rsidRDefault="00690833" w:rsidP="00690833">
            <w:pPr>
              <w:shd w:val="clear" w:color="auto" w:fill="FFFFFF" w:themeFill="background1"/>
              <w:rPr>
                <w:sz w:val="20"/>
              </w:rPr>
            </w:pPr>
            <w:r w:rsidRPr="00690833">
              <w:rPr>
                <w:sz w:val="20"/>
              </w:rPr>
              <w:t xml:space="preserve"> </w:t>
            </w:r>
          </w:p>
          <w:p w14:paraId="6937EDB1" w14:textId="75F2A586" w:rsidR="00E16573" w:rsidRDefault="00690833" w:rsidP="00690833">
            <w:pPr>
              <w:shd w:val="clear" w:color="auto" w:fill="FFFFFF" w:themeFill="background1"/>
              <w:rPr>
                <w:sz w:val="20"/>
              </w:rPr>
            </w:pPr>
            <w:r w:rsidRPr="00690833">
              <w:rPr>
                <w:sz w:val="20"/>
              </w:rPr>
              <w:t xml:space="preserve">Engagement and education work is underway that generally supports this recommendation. For example, a new drought website was developed on Alberta.ca: </w:t>
            </w:r>
            <w:hyperlink r:id="rId11" w:history="1">
              <w:r w:rsidRPr="006E7771">
                <w:rPr>
                  <w:rStyle w:val="Hyperlink"/>
                  <w:sz w:val="20"/>
                </w:rPr>
                <w:t>https://www.alberta.ca/drought.aspx</w:t>
              </w:r>
            </w:hyperlink>
            <w:r w:rsidRPr="00690833">
              <w:rPr>
                <w:sz w:val="20"/>
              </w:rPr>
              <w:t>.</w:t>
            </w:r>
            <w:r>
              <w:rPr>
                <w:sz w:val="20"/>
              </w:rPr>
              <w:t xml:space="preserve"> </w:t>
            </w:r>
            <w:r w:rsidRPr="00690833">
              <w:rPr>
                <w:sz w:val="20"/>
              </w:rPr>
              <w:t xml:space="preserve"> Additionally, several community-based engagements were conducted over the last year related to EPA flood mapping studies (including the Peace River, Upper Bow River, Bow and Elbow River, Sheep River, Highwood River, Fort McMurray, Siksika Bow River, Upper Red Deer River, Red Deer, Priddis, Medicine Hat, North Saskatchewan River, Drumheller, St Albert, Fort Macleod, Cardston, Fort Vermilion, Athabasca, Slave Lake, Pincher Creek, and Camrose studies).</w:t>
            </w:r>
          </w:p>
          <w:p w14:paraId="76F7F0E6" w14:textId="200077FC" w:rsidR="00690833" w:rsidRPr="001E703B" w:rsidRDefault="00690833" w:rsidP="00690833">
            <w:pPr>
              <w:shd w:val="clear" w:color="auto" w:fill="FFFFFF" w:themeFill="background1"/>
              <w:rPr>
                <w:sz w:val="20"/>
              </w:rPr>
            </w:pPr>
          </w:p>
        </w:tc>
      </w:tr>
      <w:tr w:rsidR="00E16573" w:rsidRPr="001E703B" w14:paraId="1DF352EF" w14:textId="77777777" w:rsidTr="00E9362C">
        <w:tc>
          <w:tcPr>
            <w:tcW w:w="706" w:type="dxa"/>
            <w:shd w:val="clear" w:color="auto" w:fill="FFFFFF"/>
          </w:tcPr>
          <w:p w14:paraId="26A61188" w14:textId="0915E169" w:rsidR="00E16573" w:rsidRDefault="00E16573" w:rsidP="00B95131">
            <w:pPr>
              <w:shd w:val="clear" w:color="auto" w:fill="FFFFFF" w:themeFill="background1"/>
              <w:jc w:val="center"/>
            </w:pPr>
            <w:r>
              <w:t>12</w:t>
            </w:r>
          </w:p>
        </w:tc>
        <w:tc>
          <w:tcPr>
            <w:tcW w:w="3249" w:type="dxa"/>
            <w:shd w:val="clear" w:color="auto" w:fill="FFFFFF"/>
          </w:tcPr>
          <w:p w14:paraId="78A404AE" w14:textId="77777777" w:rsidR="00E16573" w:rsidRDefault="00E16573" w:rsidP="00C35925">
            <w:pPr>
              <w:shd w:val="clear" w:color="auto" w:fill="FFFFFF" w:themeFill="background1"/>
              <w:rPr>
                <w:sz w:val="20"/>
              </w:rPr>
            </w:pPr>
            <w:r w:rsidRPr="00533992">
              <w:rPr>
                <w:sz w:val="20"/>
              </w:rPr>
              <w:t xml:space="preserve">Education and Outreach </w:t>
            </w:r>
          </w:p>
          <w:p w14:paraId="0E1E5ED0" w14:textId="77777777" w:rsidR="00E16573" w:rsidRDefault="00E16573" w:rsidP="00C35925">
            <w:pPr>
              <w:shd w:val="clear" w:color="auto" w:fill="FFFFFF" w:themeFill="background1"/>
              <w:rPr>
                <w:sz w:val="20"/>
              </w:rPr>
            </w:pPr>
            <w:r w:rsidRPr="00533992">
              <w:rPr>
                <w:sz w:val="20"/>
              </w:rPr>
              <w:t xml:space="preserve">That the GoA continue to work with </w:t>
            </w:r>
            <w:r w:rsidRPr="007054C7">
              <w:rPr>
                <w:i/>
                <w:iCs/>
                <w:sz w:val="20"/>
              </w:rPr>
              <w:t>Water for Life</w:t>
            </w:r>
            <w:r w:rsidRPr="00533992">
              <w:rPr>
                <w:sz w:val="20"/>
              </w:rPr>
              <w:t xml:space="preserve"> partners and other educators to improve the water literacy of Albertans by maintaining the Water for Life and Water Channel websites and ensuring they are active, accessible, and user-</w:t>
            </w:r>
            <w:r w:rsidRPr="00533992">
              <w:rPr>
                <w:sz w:val="20"/>
              </w:rPr>
              <w:lastRenderedPageBreak/>
              <w:t>friendly and provide access to Water for Life documents, partners, potential funding sources, water-related programs, citizen science initiatives, etc. (ongoing with periodic updates to the AWC).</w:t>
            </w:r>
          </w:p>
          <w:p w14:paraId="4BFB5EF4" w14:textId="47547521" w:rsidR="00E16573" w:rsidRPr="00C35925" w:rsidRDefault="00E16573" w:rsidP="00C35925">
            <w:pPr>
              <w:shd w:val="clear" w:color="auto" w:fill="FFFFFF" w:themeFill="background1"/>
              <w:rPr>
                <w:sz w:val="20"/>
              </w:rPr>
            </w:pPr>
          </w:p>
        </w:tc>
        <w:tc>
          <w:tcPr>
            <w:tcW w:w="2790" w:type="dxa"/>
            <w:gridSpan w:val="2"/>
            <w:shd w:val="clear" w:color="auto" w:fill="FFFFFF"/>
          </w:tcPr>
          <w:p w14:paraId="05769A99" w14:textId="23118C68" w:rsidR="00E16573" w:rsidRDefault="00E16573" w:rsidP="00B95131">
            <w:pPr>
              <w:shd w:val="clear" w:color="auto" w:fill="FFFFFF" w:themeFill="background1"/>
              <w:rPr>
                <w:szCs w:val="24"/>
              </w:rPr>
            </w:pPr>
            <w:r>
              <w:rPr>
                <w:szCs w:val="24"/>
              </w:rPr>
              <w:lastRenderedPageBreak/>
              <w:t>Government of Alberta</w:t>
            </w:r>
          </w:p>
        </w:tc>
        <w:tc>
          <w:tcPr>
            <w:tcW w:w="2340" w:type="dxa"/>
            <w:shd w:val="clear" w:color="auto" w:fill="FFFFFF"/>
          </w:tcPr>
          <w:p w14:paraId="32159EE6" w14:textId="68CCEE2B" w:rsidR="00E16573" w:rsidRDefault="00E16573" w:rsidP="00C35925">
            <w:pPr>
              <w:shd w:val="clear" w:color="auto" w:fill="FFFFFF" w:themeFill="background1"/>
              <w:jc w:val="center"/>
              <w:rPr>
                <w:szCs w:val="24"/>
              </w:rPr>
            </w:pPr>
            <w:r>
              <w:rPr>
                <w:szCs w:val="24"/>
              </w:rPr>
              <w:t>Ongoing long-term</w:t>
            </w:r>
          </w:p>
        </w:tc>
        <w:tc>
          <w:tcPr>
            <w:tcW w:w="5760" w:type="dxa"/>
            <w:gridSpan w:val="2"/>
            <w:vMerge/>
            <w:shd w:val="clear" w:color="auto" w:fill="A8D6E2" w:themeFill="accent1" w:themeFillTint="66"/>
          </w:tcPr>
          <w:p w14:paraId="7339924C" w14:textId="207FB5E5" w:rsidR="00E16573" w:rsidRPr="00780278" w:rsidRDefault="00E16573" w:rsidP="00780278">
            <w:pPr>
              <w:shd w:val="clear" w:color="auto" w:fill="FFFFFF" w:themeFill="background1"/>
              <w:rPr>
                <w:sz w:val="20"/>
              </w:rPr>
            </w:pPr>
          </w:p>
        </w:tc>
        <w:tc>
          <w:tcPr>
            <w:tcW w:w="8370" w:type="dxa"/>
            <w:shd w:val="clear" w:color="auto" w:fill="FFFFFF"/>
          </w:tcPr>
          <w:p w14:paraId="5B2B6EA0" w14:textId="67E5C5BB" w:rsidR="00E16573" w:rsidRPr="00780278" w:rsidRDefault="00690833" w:rsidP="00780278">
            <w:pPr>
              <w:shd w:val="clear" w:color="auto" w:fill="FFFFFF" w:themeFill="background1"/>
              <w:rPr>
                <w:sz w:val="20"/>
              </w:rPr>
            </w:pPr>
            <w:r>
              <w:rPr>
                <w:sz w:val="20"/>
              </w:rPr>
              <w:t>EPA</w:t>
            </w:r>
            <w:r w:rsidR="00E16573" w:rsidRPr="00780278">
              <w:rPr>
                <w:sz w:val="20"/>
              </w:rPr>
              <w:t xml:space="preserve"> continues to support WPAC Education and Outreach staff on numerous watershed literacy projects including a watershed video series. The video series will be promoted across the province to educate Albertan's on their watershed, watershed partners and stakeholders, key watershed management issues, and watershed stewardship. AEP also continues to maintain the Water for Life and Water Channel websites.</w:t>
            </w:r>
          </w:p>
          <w:p w14:paraId="2C3FCA44" w14:textId="77777777" w:rsidR="00E16573" w:rsidRPr="00780278" w:rsidRDefault="00E16573" w:rsidP="00780278">
            <w:pPr>
              <w:shd w:val="clear" w:color="auto" w:fill="FFFFFF" w:themeFill="background1"/>
              <w:rPr>
                <w:sz w:val="20"/>
              </w:rPr>
            </w:pPr>
          </w:p>
          <w:p w14:paraId="263F59E3" w14:textId="43D78E62" w:rsidR="00E16573" w:rsidRPr="00780278" w:rsidRDefault="00E16573" w:rsidP="00780278">
            <w:pPr>
              <w:shd w:val="clear" w:color="auto" w:fill="FFFFFF" w:themeFill="background1"/>
              <w:rPr>
                <w:sz w:val="20"/>
              </w:rPr>
            </w:pPr>
            <w:r w:rsidRPr="00780278">
              <w:rPr>
                <w:sz w:val="20"/>
              </w:rPr>
              <w:t xml:space="preserve">Bow Habitat Station continues to play an important role in increasing the water literacy of Albertans. The program supports the three main goals of the Water for Life strategy with an emphasis on </w:t>
            </w:r>
            <w:r w:rsidRPr="00780278">
              <w:rPr>
                <w:sz w:val="20"/>
              </w:rPr>
              <w:lastRenderedPageBreak/>
              <w:t xml:space="preserve">healthy aquatic ecosystems. Currently, Bow Habitat Station enhances water literacy through its interactive displays, hands on learning opportunities, and social media content. To increase the reach of water literacy messages across the province, Bow Habitat Station intends to develop a virtual program aligned with key messages identified in the </w:t>
            </w:r>
            <w:r w:rsidRPr="00780278">
              <w:rPr>
                <w:i/>
                <w:iCs/>
                <w:sz w:val="20"/>
              </w:rPr>
              <w:t xml:space="preserve">Water </w:t>
            </w:r>
            <w:r>
              <w:rPr>
                <w:i/>
                <w:iCs/>
                <w:sz w:val="20"/>
              </w:rPr>
              <w:t>f</w:t>
            </w:r>
            <w:r w:rsidRPr="00780278">
              <w:rPr>
                <w:i/>
                <w:iCs/>
                <w:sz w:val="20"/>
              </w:rPr>
              <w:t>or Life</w:t>
            </w:r>
            <w:r w:rsidRPr="00780278">
              <w:rPr>
                <w:sz w:val="20"/>
              </w:rPr>
              <w:t xml:space="preserve"> strategy.</w:t>
            </w:r>
          </w:p>
          <w:p w14:paraId="28FD7161" w14:textId="5FCC9A78" w:rsidR="00E16573" w:rsidRPr="001E703B" w:rsidRDefault="00E16573" w:rsidP="00B95131">
            <w:pPr>
              <w:shd w:val="clear" w:color="auto" w:fill="FFFFFF" w:themeFill="background1"/>
              <w:rPr>
                <w:sz w:val="20"/>
              </w:rPr>
            </w:pPr>
          </w:p>
        </w:tc>
      </w:tr>
      <w:tr w:rsidR="00581ED5" w:rsidRPr="001E703B" w14:paraId="37054D94" w14:textId="77777777" w:rsidTr="00E16573">
        <w:tc>
          <w:tcPr>
            <w:tcW w:w="706" w:type="dxa"/>
            <w:shd w:val="clear" w:color="auto" w:fill="FFFFFF"/>
          </w:tcPr>
          <w:p w14:paraId="646B122C" w14:textId="39771127" w:rsidR="00581ED5" w:rsidRDefault="00581ED5" w:rsidP="00B95131">
            <w:pPr>
              <w:shd w:val="clear" w:color="auto" w:fill="FFFFFF" w:themeFill="background1"/>
              <w:jc w:val="center"/>
            </w:pPr>
            <w:r>
              <w:lastRenderedPageBreak/>
              <w:t>13</w:t>
            </w:r>
          </w:p>
        </w:tc>
        <w:tc>
          <w:tcPr>
            <w:tcW w:w="3249" w:type="dxa"/>
            <w:shd w:val="clear" w:color="auto" w:fill="FFFFFF"/>
          </w:tcPr>
          <w:p w14:paraId="5BF023F7" w14:textId="77777777" w:rsidR="00581ED5" w:rsidRDefault="00581ED5" w:rsidP="00C35925">
            <w:pPr>
              <w:shd w:val="clear" w:color="auto" w:fill="FFFFFF" w:themeFill="background1"/>
              <w:rPr>
                <w:sz w:val="20"/>
              </w:rPr>
            </w:pPr>
            <w:r w:rsidRPr="00533992">
              <w:rPr>
                <w:sz w:val="20"/>
              </w:rPr>
              <w:t xml:space="preserve">Knowledge Integration </w:t>
            </w:r>
          </w:p>
          <w:p w14:paraId="7BE31A84" w14:textId="77777777" w:rsidR="00581ED5" w:rsidRDefault="00581ED5" w:rsidP="00C35925">
            <w:pPr>
              <w:shd w:val="clear" w:color="auto" w:fill="FFFFFF" w:themeFill="background1"/>
              <w:rPr>
                <w:sz w:val="20"/>
              </w:rPr>
            </w:pPr>
            <w:r w:rsidRPr="00533992">
              <w:rPr>
                <w:sz w:val="20"/>
              </w:rPr>
              <w:t>That the GoA’s water education, research, and monitoring and evaluation managers examine how they can better leverage and support each other’s work and improve user-friendly communications, reporting to the Water for Life partners by 2022 on how their combined efforts and processes support an iterative and adaptive performance-based water and watershed management system.</w:t>
            </w:r>
          </w:p>
          <w:p w14:paraId="7AA51A64" w14:textId="26A0A4E8" w:rsidR="00581ED5" w:rsidRPr="00533992" w:rsidRDefault="00581ED5" w:rsidP="00C35925">
            <w:pPr>
              <w:shd w:val="clear" w:color="auto" w:fill="FFFFFF" w:themeFill="background1"/>
              <w:rPr>
                <w:sz w:val="20"/>
              </w:rPr>
            </w:pPr>
          </w:p>
        </w:tc>
        <w:tc>
          <w:tcPr>
            <w:tcW w:w="2790" w:type="dxa"/>
            <w:gridSpan w:val="2"/>
            <w:shd w:val="clear" w:color="auto" w:fill="FFFFFF"/>
          </w:tcPr>
          <w:p w14:paraId="2AF26A90" w14:textId="756E9E34" w:rsidR="00581ED5" w:rsidRDefault="00581ED5" w:rsidP="00B95131">
            <w:pPr>
              <w:shd w:val="clear" w:color="auto" w:fill="FFFFFF" w:themeFill="background1"/>
              <w:rPr>
                <w:szCs w:val="24"/>
              </w:rPr>
            </w:pPr>
            <w:r>
              <w:rPr>
                <w:szCs w:val="24"/>
              </w:rPr>
              <w:t>Government of Alberta</w:t>
            </w:r>
          </w:p>
        </w:tc>
        <w:tc>
          <w:tcPr>
            <w:tcW w:w="2340" w:type="dxa"/>
            <w:shd w:val="clear" w:color="auto" w:fill="FFFFFF"/>
          </w:tcPr>
          <w:p w14:paraId="30EED015" w14:textId="00EDC0F9" w:rsidR="00581ED5" w:rsidRDefault="00581ED5" w:rsidP="00C35925">
            <w:pPr>
              <w:shd w:val="clear" w:color="auto" w:fill="FFFFFF" w:themeFill="background1"/>
              <w:jc w:val="center"/>
              <w:rPr>
                <w:szCs w:val="24"/>
              </w:rPr>
            </w:pPr>
            <w:r>
              <w:rPr>
                <w:szCs w:val="24"/>
              </w:rPr>
              <w:t>2022</w:t>
            </w:r>
          </w:p>
        </w:tc>
        <w:tc>
          <w:tcPr>
            <w:tcW w:w="2970" w:type="dxa"/>
            <w:shd w:val="clear" w:color="auto" w:fill="B8D779" w:themeFill="accent4" w:themeFillTint="99"/>
          </w:tcPr>
          <w:p w14:paraId="15F9C65D" w14:textId="77777777" w:rsidR="00E16573" w:rsidRDefault="00E16573" w:rsidP="00E16573">
            <w:pPr>
              <w:shd w:val="clear" w:color="auto" w:fill="FFFFFF" w:themeFill="background1"/>
              <w:jc w:val="center"/>
            </w:pPr>
            <w:r>
              <w:t>Pending to be completed</w:t>
            </w:r>
          </w:p>
          <w:p w14:paraId="7253CCFE" w14:textId="77777777" w:rsidR="00581ED5" w:rsidRDefault="00581ED5" w:rsidP="00780278"/>
          <w:p w14:paraId="54B19131" w14:textId="0F8B6950" w:rsidR="00581ED5" w:rsidRPr="00780278" w:rsidRDefault="00581ED5" w:rsidP="00780278">
            <w:pPr>
              <w:ind w:firstLine="720"/>
              <w:jc w:val="center"/>
            </w:pPr>
          </w:p>
        </w:tc>
        <w:tc>
          <w:tcPr>
            <w:tcW w:w="2790" w:type="dxa"/>
            <w:shd w:val="clear" w:color="auto" w:fill="B8D779" w:themeFill="accent4" w:themeFillTint="99"/>
          </w:tcPr>
          <w:p w14:paraId="2A3BA1F9" w14:textId="77777777" w:rsidR="00E16573" w:rsidRDefault="00E16573" w:rsidP="00E16573">
            <w:pPr>
              <w:shd w:val="clear" w:color="auto" w:fill="FFFFFF" w:themeFill="background1"/>
              <w:jc w:val="center"/>
            </w:pPr>
            <w:r>
              <w:t>Pending to be completed</w:t>
            </w:r>
          </w:p>
          <w:p w14:paraId="75817B4B" w14:textId="77777777" w:rsidR="00581ED5" w:rsidRPr="00780278" w:rsidRDefault="00581ED5" w:rsidP="00780278">
            <w:pPr>
              <w:shd w:val="clear" w:color="auto" w:fill="FFFFFF" w:themeFill="background1"/>
              <w:rPr>
                <w:sz w:val="20"/>
                <w:szCs w:val="20"/>
              </w:rPr>
            </w:pPr>
          </w:p>
        </w:tc>
        <w:tc>
          <w:tcPr>
            <w:tcW w:w="8370" w:type="dxa"/>
            <w:shd w:val="clear" w:color="auto" w:fill="FFFFFF"/>
          </w:tcPr>
          <w:p w14:paraId="7CE98745" w14:textId="02AE5863" w:rsidR="00581ED5" w:rsidRPr="00780278" w:rsidRDefault="00581ED5" w:rsidP="00780278">
            <w:pPr>
              <w:shd w:val="clear" w:color="auto" w:fill="FFFFFF" w:themeFill="background1"/>
              <w:rPr>
                <w:sz w:val="20"/>
                <w:szCs w:val="20"/>
              </w:rPr>
            </w:pPr>
            <w:r w:rsidRPr="00780278">
              <w:rPr>
                <w:sz w:val="20"/>
                <w:szCs w:val="20"/>
              </w:rPr>
              <w:t xml:space="preserve">Ongoing participation in steering, operational and science technical committees by representatives from multiple AEP Divisions/branches is facilitating better awareness of the breadth of water work being undertaken in AEP. These formal connections are resulting in multi-group inputs into, for example, the adaptive development and refinement of surface water quality management frameworks as well as wider departmental uptake and application of new and/or improved evaluation techniques related to water quality/quantity data. </w:t>
            </w:r>
          </w:p>
          <w:p w14:paraId="25F74ECA" w14:textId="77777777" w:rsidR="00581ED5" w:rsidRPr="00780278" w:rsidRDefault="00581ED5" w:rsidP="00780278">
            <w:pPr>
              <w:shd w:val="clear" w:color="auto" w:fill="FFFFFF" w:themeFill="background1"/>
              <w:rPr>
                <w:sz w:val="20"/>
                <w:szCs w:val="20"/>
              </w:rPr>
            </w:pPr>
          </w:p>
          <w:p w14:paraId="1B966471" w14:textId="77777777" w:rsidR="00581ED5" w:rsidRPr="00780278" w:rsidRDefault="00581ED5" w:rsidP="00780278">
            <w:pPr>
              <w:shd w:val="clear" w:color="auto" w:fill="FFFFFF" w:themeFill="background1"/>
              <w:rPr>
                <w:sz w:val="20"/>
                <w:szCs w:val="20"/>
              </w:rPr>
            </w:pPr>
            <w:r w:rsidRPr="00780278">
              <w:rPr>
                <w:sz w:val="20"/>
                <w:szCs w:val="20"/>
              </w:rPr>
              <w:t xml:space="preserve">In 2022, AEP is planning to enhance its water education efforts in conjunction with the AWC and other partners to coincide with the development of the new </w:t>
            </w:r>
            <w:r w:rsidRPr="00780278">
              <w:rPr>
                <w:i/>
                <w:iCs/>
                <w:sz w:val="20"/>
                <w:szCs w:val="20"/>
              </w:rPr>
              <w:t>Water for Life</w:t>
            </w:r>
            <w:r w:rsidRPr="00780278">
              <w:rPr>
                <w:sz w:val="20"/>
                <w:szCs w:val="20"/>
              </w:rPr>
              <w:t xml:space="preserve"> Action Plan.</w:t>
            </w:r>
          </w:p>
          <w:p w14:paraId="3B1BDD4B" w14:textId="56058F5E" w:rsidR="00581ED5" w:rsidRPr="001E703B" w:rsidRDefault="00581ED5" w:rsidP="00B95131">
            <w:pPr>
              <w:shd w:val="clear" w:color="auto" w:fill="FFFFFF" w:themeFill="background1"/>
              <w:rPr>
                <w:sz w:val="20"/>
              </w:rPr>
            </w:pPr>
          </w:p>
        </w:tc>
      </w:tr>
      <w:tr w:rsidR="00581ED5" w:rsidRPr="001E703B" w14:paraId="1C2A93EF" w14:textId="77777777" w:rsidTr="00E16573">
        <w:tc>
          <w:tcPr>
            <w:tcW w:w="706" w:type="dxa"/>
            <w:shd w:val="clear" w:color="auto" w:fill="FFFFFF"/>
          </w:tcPr>
          <w:p w14:paraId="62A849DB" w14:textId="69A92A9B" w:rsidR="00581ED5" w:rsidRDefault="00581ED5" w:rsidP="00B95131">
            <w:pPr>
              <w:shd w:val="clear" w:color="auto" w:fill="FFFFFF" w:themeFill="background1"/>
              <w:jc w:val="center"/>
            </w:pPr>
            <w:r>
              <w:t>14</w:t>
            </w:r>
          </w:p>
        </w:tc>
        <w:tc>
          <w:tcPr>
            <w:tcW w:w="3249" w:type="dxa"/>
            <w:shd w:val="clear" w:color="auto" w:fill="FFFFFF"/>
          </w:tcPr>
          <w:p w14:paraId="08190CEB" w14:textId="77777777" w:rsidR="00581ED5" w:rsidRDefault="00581ED5" w:rsidP="00C35925">
            <w:pPr>
              <w:shd w:val="clear" w:color="auto" w:fill="FFFFFF" w:themeFill="background1"/>
              <w:rPr>
                <w:sz w:val="20"/>
              </w:rPr>
            </w:pPr>
            <w:r w:rsidRPr="00533992">
              <w:rPr>
                <w:sz w:val="20"/>
              </w:rPr>
              <w:t xml:space="preserve">Partnerships Review </w:t>
            </w:r>
          </w:p>
          <w:p w14:paraId="637C1FA9" w14:textId="77777777" w:rsidR="00581ED5" w:rsidRDefault="00581ED5" w:rsidP="00C35925">
            <w:pPr>
              <w:shd w:val="clear" w:color="auto" w:fill="FFFFFF" w:themeFill="background1"/>
              <w:rPr>
                <w:sz w:val="20"/>
              </w:rPr>
            </w:pPr>
            <w:r w:rsidRPr="00533992">
              <w:rPr>
                <w:sz w:val="20"/>
              </w:rPr>
              <w:t xml:space="preserve">That the AWC strike a project team to examine how the </w:t>
            </w:r>
            <w:r w:rsidRPr="00533992">
              <w:rPr>
                <w:i/>
                <w:iCs/>
                <w:sz w:val="20"/>
              </w:rPr>
              <w:t>Water for Life</w:t>
            </w:r>
            <w:r w:rsidRPr="00533992">
              <w:rPr>
                <w:sz w:val="20"/>
              </w:rPr>
              <w:t xml:space="preserve"> partnership framework can be improved to contribute more effectively to water and watershed management in Alberta (with team work completed by 2022).</w:t>
            </w:r>
          </w:p>
          <w:p w14:paraId="6D2630C5" w14:textId="4411371D" w:rsidR="00581ED5" w:rsidRPr="00533992" w:rsidRDefault="00581ED5" w:rsidP="00C35925">
            <w:pPr>
              <w:shd w:val="clear" w:color="auto" w:fill="FFFFFF" w:themeFill="background1"/>
              <w:rPr>
                <w:sz w:val="20"/>
              </w:rPr>
            </w:pPr>
          </w:p>
        </w:tc>
        <w:tc>
          <w:tcPr>
            <w:tcW w:w="2790" w:type="dxa"/>
            <w:gridSpan w:val="2"/>
            <w:shd w:val="clear" w:color="auto" w:fill="FFFFFF"/>
          </w:tcPr>
          <w:p w14:paraId="6D29EA14" w14:textId="727BE827" w:rsidR="00581ED5" w:rsidRDefault="00581ED5" w:rsidP="00B95131">
            <w:pPr>
              <w:shd w:val="clear" w:color="auto" w:fill="FFFFFF" w:themeFill="background1"/>
              <w:rPr>
                <w:szCs w:val="24"/>
              </w:rPr>
            </w:pPr>
            <w:r>
              <w:rPr>
                <w:szCs w:val="24"/>
              </w:rPr>
              <w:t>Alberta Water Council</w:t>
            </w:r>
          </w:p>
        </w:tc>
        <w:tc>
          <w:tcPr>
            <w:tcW w:w="2340" w:type="dxa"/>
            <w:shd w:val="clear" w:color="auto" w:fill="FFFFFF"/>
          </w:tcPr>
          <w:p w14:paraId="7C05EC7C" w14:textId="6E4ACDE2" w:rsidR="00581ED5" w:rsidRDefault="00581ED5" w:rsidP="00C35925">
            <w:pPr>
              <w:shd w:val="clear" w:color="auto" w:fill="FFFFFF" w:themeFill="background1"/>
              <w:jc w:val="center"/>
              <w:rPr>
                <w:szCs w:val="24"/>
              </w:rPr>
            </w:pPr>
            <w:r>
              <w:rPr>
                <w:szCs w:val="24"/>
              </w:rPr>
              <w:t>2022</w:t>
            </w:r>
          </w:p>
        </w:tc>
        <w:tc>
          <w:tcPr>
            <w:tcW w:w="2970" w:type="dxa"/>
            <w:shd w:val="clear" w:color="auto" w:fill="B8D779" w:themeFill="accent4" w:themeFillTint="99"/>
          </w:tcPr>
          <w:p w14:paraId="0A4E4E8E" w14:textId="10FD8E19" w:rsidR="00581ED5" w:rsidRPr="001E703B" w:rsidRDefault="00581ED5" w:rsidP="00780278">
            <w:pPr>
              <w:shd w:val="clear" w:color="auto" w:fill="FFFFFF" w:themeFill="background1"/>
              <w:jc w:val="center"/>
            </w:pPr>
            <w:r>
              <w:t>Pending to be completed</w:t>
            </w:r>
          </w:p>
        </w:tc>
        <w:tc>
          <w:tcPr>
            <w:tcW w:w="2790" w:type="dxa"/>
            <w:shd w:val="clear" w:color="auto" w:fill="B8D779" w:themeFill="accent4" w:themeFillTint="99"/>
          </w:tcPr>
          <w:p w14:paraId="4CC18C2C" w14:textId="77777777" w:rsidR="00E16573" w:rsidRDefault="00E16573" w:rsidP="00E16573">
            <w:pPr>
              <w:shd w:val="clear" w:color="auto" w:fill="FFFFFF" w:themeFill="background1"/>
              <w:jc w:val="center"/>
            </w:pPr>
            <w:r>
              <w:t>Pending to be completed</w:t>
            </w:r>
          </w:p>
          <w:p w14:paraId="2AD4C7A4" w14:textId="77777777" w:rsidR="00581ED5" w:rsidRDefault="00581ED5" w:rsidP="00B95131">
            <w:pPr>
              <w:shd w:val="clear" w:color="auto" w:fill="FFFFFF" w:themeFill="background1"/>
              <w:rPr>
                <w:sz w:val="20"/>
              </w:rPr>
            </w:pPr>
          </w:p>
        </w:tc>
        <w:tc>
          <w:tcPr>
            <w:tcW w:w="8370" w:type="dxa"/>
            <w:shd w:val="clear" w:color="auto" w:fill="FFFFFF"/>
          </w:tcPr>
          <w:p w14:paraId="79285AA6" w14:textId="6557BE2F" w:rsidR="00581ED5" w:rsidRPr="001E703B" w:rsidRDefault="00581ED5" w:rsidP="00B95131">
            <w:pPr>
              <w:shd w:val="clear" w:color="auto" w:fill="FFFFFF" w:themeFill="background1"/>
              <w:rPr>
                <w:sz w:val="20"/>
              </w:rPr>
            </w:pPr>
            <w:r>
              <w:rPr>
                <w:sz w:val="20"/>
              </w:rPr>
              <w:t xml:space="preserve">Through the ongoing AWC </w:t>
            </w:r>
            <w:r w:rsidRPr="00780278">
              <w:rPr>
                <w:i/>
                <w:iCs/>
                <w:sz w:val="20"/>
              </w:rPr>
              <w:t xml:space="preserve">Water for Life </w:t>
            </w:r>
            <w:r>
              <w:rPr>
                <w:sz w:val="20"/>
              </w:rPr>
              <w:t xml:space="preserve">Action Plan work, this topic will be </w:t>
            </w:r>
            <w:r w:rsidR="00690833">
              <w:rPr>
                <w:sz w:val="20"/>
              </w:rPr>
              <w:t>examined,</w:t>
            </w:r>
            <w:r>
              <w:rPr>
                <w:sz w:val="20"/>
              </w:rPr>
              <w:t xml:space="preserve"> and potential next steps will </w:t>
            </w:r>
            <w:r w:rsidR="00B27C4A">
              <w:rPr>
                <w:sz w:val="20"/>
              </w:rPr>
              <w:t xml:space="preserve"> </w:t>
            </w:r>
          </w:p>
        </w:tc>
      </w:tr>
      <w:tr w:rsidR="00581ED5" w:rsidRPr="001E703B" w14:paraId="6D865E33" w14:textId="77777777" w:rsidTr="00E16573">
        <w:tc>
          <w:tcPr>
            <w:tcW w:w="706" w:type="dxa"/>
            <w:shd w:val="clear" w:color="auto" w:fill="FFFFFF"/>
          </w:tcPr>
          <w:p w14:paraId="3CEEC939" w14:textId="50F57295" w:rsidR="00581ED5" w:rsidRDefault="00581ED5" w:rsidP="001B495D">
            <w:pPr>
              <w:shd w:val="clear" w:color="auto" w:fill="FFFFFF" w:themeFill="background1"/>
              <w:jc w:val="center"/>
            </w:pPr>
            <w:r>
              <w:t>15</w:t>
            </w:r>
          </w:p>
        </w:tc>
        <w:tc>
          <w:tcPr>
            <w:tcW w:w="3249" w:type="dxa"/>
            <w:shd w:val="clear" w:color="auto" w:fill="FFFFFF"/>
          </w:tcPr>
          <w:p w14:paraId="63DF9196" w14:textId="77777777" w:rsidR="00581ED5" w:rsidRDefault="00581ED5" w:rsidP="001B495D">
            <w:pPr>
              <w:shd w:val="clear" w:color="auto" w:fill="FFFFFF" w:themeFill="background1"/>
              <w:rPr>
                <w:sz w:val="20"/>
              </w:rPr>
            </w:pPr>
            <w:r w:rsidRPr="00533992">
              <w:rPr>
                <w:sz w:val="20"/>
              </w:rPr>
              <w:t xml:space="preserve">Advancing CEP </w:t>
            </w:r>
          </w:p>
          <w:p w14:paraId="5F0DD3C1" w14:textId="77777777" w:rsidR="00581ED5" w:rsidRDefault="00581ED5" w:rsidP="001B495D">
            <w:pPr>
              <w:shd w:val="clear" w:color="auto" w:fill="FFFFFF" w:themeFill="background1"/>
              <w:rPr>
                <w:sz w:val="20"/>
              </w:rPr>
            </w:pPr>
            <w:r w:rsidRPr="00533992">
              <w:rPr>
                <w:sz w:val="20"/>
              </w:rPr>
              <w:t>That the AWC continue to provide the forum for advancing voluntary water conservation, efficiency, and productivity (CEP) through the work of the Water CEP Project Team, as needed (ongoing)</w:t>
            </w:r>
          </w:p>
          <w:p w14:paraId="2FAA72B0" w14:textId="12E10F1F" w:rsidR="00581ED5" w:rsidRPr="00533992" w:rsidRDefault="00581ED5" w:rsidP="001B495D">
            <w:pPr>
              <w:shd w:val="clear" w:color="auto" w:fill="FFFFFF" w:themeFill="background1"/>
              <w:rPr>
                <w:sz w:val="20"/>
              </w:rPr>
            </w:pPr>
          </w:p>
        </w:tc>
        <w:tc>
          <w:tcPr>
            <w:tcW w:w="2790" w:type="dxa"/>
            <w:gridSpan w:val="2"/>
            <w:shd w:val="clear" w:color="auto" w:fill="FFFFFF"/>
          </w:tcPr>
          <w:p w14:paraId="38FEA1C1" w14:textId="1D282B25" w:rsidR="00581ED5" w:rsidRDefault="00581ED5" w:rsidP="001B495D">
            <w:pPr>
              <w:shd w:val="clear" w:color="auto" w:fill="FFFFFF" w:themeFill="background1"/>
              <w:rPr>
                <w:szCs w:val="24"/>
              </w:rPr>
            </w:pPr>
            <w:r>
              <w:rPr>
                <w:szCs w:val="24"/>
              </w:rPr>
              <w:t>Alberta Water Council</w:t>
            </w:r>
          </w:p>
        </w:tc>
        <w:tc>
          <w:tcPr>
            <w:tcW w:w="2340" w:type="dxa"/>
            <w:shd w:val="clear" w:color="auto" w:fill="FFFFFF"/>
          </w:tcPr>
          <w:p w14:paraId="1B903E76" w14:textId="3B111255" w:rsidR="00581ED5" w:rsidRDefault="00581ED5" w:rsidP="001B495D">
            <w:pPr>
              <w:shd w:val="clear" w:color="auto" w:fill="FFFFFF" w:themeFill="background1"/>
              <w:jc w:val="center"/>
              <w:rPr>
                <w:szCs w:val="24"/>
              </w:rPr>
            </w:pPr>
            <w:r>
              <w:rPr>
                <w:szCs w:val="24"/>
              </w:rPr>
              <w:t>Ongoing long-term</w:t>
            </w:r>
          </w:p>
        </w:tc>
        <w:tc>
          <w:tcPr>
            <w:tcW w:w="2970" w:type="dxa"/>
            <w:shd w:val="clear" w:color="auto" w:fill="B8D779" w:themeFill="accent4" w:themeFillTint="99"/>
          </w:tcPr>
          <w:p w14:paraId="07B8E413" w14:textId="390F1498" w:rsidR="00581ED5" w:rsidRPr="001E703B" w:rsidRDefault="00581ED5" w:rsidP="001B495D">
            <w:pPr>
              <w:shd w:val="clear" w:color="auto" w:fill="FFFFFF" w:themeFill="background1"/>
              <w:jc w:val="center"/>
            </w:pPr>
            <w:r w:rsidRPr="00794216">
              <w:t>Pending – to be completed</w:t>
            </w:r>
          </w:p>
        </w:tc>
        <w:tc>
          <w:tcPr>
            <w:tcW w:w="2790" w:type="dxa"/>
            <w:shd w:val="clear" w:color="auto" w:fill="B8D779" w:themeFill="accent4" w:themeFillTint="99"/>
          </w:tcPr>
          <w:p w14:paraId="382B4F19" w14:textId="77777777" w:rsidR="00E16573" w:rsidRDefault="00E16573" w:rsidP="00E16573">
            <w:pPr>
              <w:shd w:val="clear" w:color="auto" w:fill="FFFFFF" w:themeFill="background1"/>
              <w:jc w:val="center"/>
            </w:pPr>
            <w:r>
              <w:t>Pending to be completed</w:t>
            </w:r>
          </w:p>
          <w:p w14:paraId="35F5DD05" w14:textId="77777777" w:rsidR="00581ED5" w:rsidRDefault="00581ED5" w:rsidP="001B495D">
            <w:pPr>
              <w:shd w:val="clear" w:color="auto" w:fill="FFFFFF" w:themeFill="background1"/>
              <w:rPr>
                <w:sz w:val="20"/>
              </w:rPr>
            </w:pPr>
          </w:p>
        </w:tc>
        <w:tc>
          <w:tcPr>
            <w:tcW w:w="8370" w:type="dxa"/>
            <w:shd w:val="clear" w:color="auto" w:fill="FFFFFF"/>
          </w:tcPr>
          <w:p w14:paraId="55D21052" w14:textId="77777777" w:rsidR="00E16573" w:rsidRDefault="00E16573" w:rsidP="00E16573">
            <w:pPr>
              <w:rPr>
                <w:sz w:val="20"/>
                <w:szCs w:val="20"/>
              </w:rPr>
            </w:pPr>
            <w:r>
              <w:rPr>
                <w:sz w:val="20"/>
                <w:szCs w:val="20"/>
              </w:rPr>
              <w:t xml:space="preserve">Sectors presented update reports on their water CEP trends and progress to the AWC in 2015. </w:t>
            </w:r>
            <w:r w:rsidRPr="00546F4F">
              <w:rPr>
                <w:sz w:val="20"/>
                <w:szCs w:val="20"/>
              </w:rPr>
              <w:t xml:space="preserve">Building on the work of the three completed project teams described below, </w:t>
            </w:r>
            <w:hyperlink r:id="rId12" w:history="1">
              <w:r w:rsidRPr="00546F4F">
                <w:rPr>
                  <w:rStyle w:val="Hyperlink"/>
                  <w:sz w:val="20"/>
                  <w:szCs w:val="20"/>
                </w:rPr>
                <w:t>a fourth team</w:t>
              </w:r>
            </w:hyperlink>
            <w:r w:rsidRPr="00546F4F">
              <w:rPr>
                <w:sz w:val="20"/>
                <w:szCs w:val="20"/>
              </w:rPr>
              <w:t xml:space="preserve"> was struck up in October 2015 to evaluate and report on the success of implemented CEP activities. </w:t>
            </w:r>
            <w:r>
              <w:rPr>
                <w:sz w:val="20"/>
                <w:szCs w:val="20"/>
              </w:rPr>
              <w:t>The team</w:t>
            </w:r>
            <w:r w:rsidRPr="00546F4F">
              <w:rPr>
                <w:sz w:val="20"/>
                <w:szCs w:val="20"/>
              </w:rPr>
              <w:t xml:space="preserve"> evaluated contributions to the three goals of the </w:t>
            </w:r>
            <w:r w:rsidRPr="00546F4F">
              <w:rPr>
                <w:i/>
                <w:iCs/>
                <w:sz w:val="20"/>
                <w:szCs w:val="20"/>
              </w:rPr>
              <w:t>Water for Life</w:t>
            </w:r>
            <w:r w:rsidRPr="00546F4F">
              <w:rPr>
                <w:sz w:val="20"/>
                <w:szCs w:val="20"/>
              </w:rPr>
              <w:t> strategy, including the specific aspirational target of improving water use efficiency and productivity by 30% from 2005 levels by 2015. The AWC propose</w:t>
            </w:r>
            <w:r>
              <w:rPr>
                <w:sz w:val="20"/>
                <w:szCs w:val="20"/>
              </w:rPr>
              <w:t>d</w:t>
            </w:r>
            <w:r w:rsidRPr="00546F4F">
              <w:rPr>
                <w:sz w:val="20"/>
                <w:szCs w:val="20"/>
              </w:rPr>
              <w:t xml:space="preserve"> performance indicators to track the progress of the seven major water-using sectors as they report on future CEP trends. Sectors agreed to collect and collate their data and report to the AWC every five years. The proposed performance indicators for reporting are:</w:t>
            </w:r>
          </w:p>
          <w:p w14:paraId="76C8EC82" w14:textId="77777777" w:rsidR="00E16573" w:rsidRDefault="00E16573" w:rsidP="00E16573">
            <w:pPr>
              <w:pStyle w:val="ListParagraph"/>
              <w:numPr>
                <w:ilvl w:val="0"/>
                <w:numId w:val="22"/>
              </w:numPr>
              <w:rPr>
                <w:sz w:val="20"/>
                <w:szCs w:val="20"/>
              </w:rPr>
            </w:pPr>
            <w:r w:rsidRPr="00546F4F">
              <w:rPr>
                <w:sz w:val="20"/>
                <w:szCs w:val="20"/>
              </w:rPr>
              <w:t xml:space="preserve">water diversion </w:t>
            </w:r>
          </w:p>
          <w:p w14:paraId="15262573" w14:textId="77777777" w:rsidR="00E16573" w:rsidRDefault="00E16573" w:rsidP="00E16573">
            <w:pPr>
              <w:pStyle w:val="ListParagraph"/>
              <w:numPr>
                <w:ilvl w:val="0"/>
                <w:numId w:val="22"/>
              </w:numPr>
              <w:rPr>
                <w:sz w:val="20"/>
                <w:szCs w:val="20"/>
              </w:rPr>
            </w:pPr>
            <w:r w:rsidRPr="00546F4F">
              <w:rPr>
                <w:sz w:val="20"/>
                <w:szCs w:val="20"/>
              </w:rPr>
              <w:t xml:space="preserve">return flow </w:t>
            </w:r>
          </w:p>
          <w:p w14:paraId="737767BE" w14:textId="77777777" w:rsidR="00E16573" w:rsidRDefault="00E16573" w:rsidP="00E16573">
            <w:pPr>
              <w:pStyle w:val="ListParagraph"/>
              <w:numPr>
                <w:ilvl w:val="0"/>
                <w:numId w:val="22"/>
              </w:numPr>
              <w:rPr>
                <w:sz w:val="20"/>
                <w:szCs w:val="20"/>
              </w:rPr>
            </w:pPr>
            <w:r w:rsidRPr="00546F4F">
              <w:rPr>
                <w:sz w:val="20"/>
                <w:szCs w:val="20"/>
              </w:rPr>
              <w:t xml:space="preserve">net water use </w:t>
            </w:r>
          </w:p>
          <w:p w14:paraId="46D3E25A" w14:textId="77777777" w:rsidR="00E16573" w:rsidRDefault="00E16573" w:rsidP="00E16573">
            <w:pPr>
              <w:pStyle w:val="ListParagraph"/>
              <w:numPr>
                <w:ilvl w:val="0"/>
                <w:numId w:val="22"/>
              </w:numPr>
              <w:rPr>
                <w:sz w:val="20"/>
                <w:szCs w:val="20"/>
              </w:rPr>
            </w:pPr>
            <w:r w:rsidRPr="00546F4F">
              <w:rPr>
                <w:sz w:val="20"/>
                <w:szCs w:val="20"/>
              </w:rPr>
              <w:t xml:space="preserve">efficiency (sector-specific) </w:t>
            </w:r>
          </w:p>
          <w:p w14:paraId="499F7A20" w14:textId="77777777" w:rsidR="00E16573" w:rsidRDefault="00E16573" w:rsidP="00E16573">
            <w:pPr>
              <w:pStyle w:val="ListParagraph"/>
              <w:numPr>
                <w:ilvl w:val="0"/>
                <w:numId w:val="22"/>
              </w:numPr>
              <w:rPr>
                <w:sz w:val="20"/>
                <w:szCs w:val="20"/>
              </w:rPr>
            </w:pPr>
            <w:r>
              <w:rPr>
                <w:sz w:val="20"/>
                <w:szCs w:val="20"/>
              </w:rPr>
              <w:t>p</w:t>
            </w:r>
            <w:r w:rsidRPr="00546F4F">
              <w:rPr>
                <w:sz w:val="20"/>
                <w:szCs w:val="20"/>
              </w:rPr>
              <w:t xml:space="preserve">roductivity (sector-specific) </w:t>
            </w:r>
          </w:p>
          <w:p w14:paraId="061CF8E4" w14:textId="77777777" w:rsidR="00E16573" w:rsidRPr="00546F4F" w:rsidRDefault="00E16573" w:rsidP="00E16573">
            <w:pPr>
              <w:rPr>
                <w:sz w:val="20"/>
                <w:szCs w:val="20"/>
              </w:rPr>
            </w:pPr>
            <w:r>
              <w:rPr>
                <w:sz w:val="20"/>
                <w:szCs w:val="20"/>
              </w:rPr>
              <w:t xml:space="preserve">Sectors will also be encouraged to share any successes and lessons learned throughout the data collection and reporting process. The AWC will be convening sectors this fall in Edmonton to report on the performance indicators individually and collectively as feasible. </w:t>
            </w:r>
          </w:p>
          <w:p w14:paraId="5B127103" w14:textId="2E2B7FC9" w:rsidR="00581ED5" w:rsidRPr="001E703B" w:rsidRDefault="00581ED5" w:rsidP="001B495D">
            <w:pPr>
              <w:shd w:val="clear" w:color="auto" w:fill="FFFFFF" w:themeFill="background1"/>
              <w:rPr>
                <w:sz w:val="20"/>
              </w:rPr>
            </w:pPr>
          </w:p>
        </w:tc>
      </w:tr>
      <w:bookmarkEnd w:id="0"/>
    </w:tbl>
    <w:p w14:paraId="432B73E6" w14:textId="3BD8CA1D" w:rsidR="00FD052B" w:rsidRPr="00FD052B" w:rsidRDefault="00FD052B" w:rsidP="00FD052B">
      <w:pPr>
        <w:tabs>
          <w:tab w:val="left" w:pos="5640"/>
        </w:tabs>
      </w:pPr>
    </w:p>
    <w:sectPr w:rsidR="00FD052B" w:rsidRPr="00FD052B" w:rsidSect="00ED34B4">
      <w:footerReference w:type="default" r:id="rId13"/>
      <w:footerReference w:type="first" r:id="rId14"/>
      <w:pgSz w:w="24480" w:h="15840" w:orient="landscape" w:code="17"/>
      <w:pgMar w:top="1710" w:right="1560" w:bottom="280" w:left="1320" w:header="720" w:footer="34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48BED" w14:textId="77777777" w:rsidR="00051F75" w:rsidRDefault="00051F75" w:rsidP="00627325">
      <w:pPr>
        <w:spacing w:after="0" w:line="240" w:lineRule="auto"/>
      </w:pPr>
      <w:r>
        <w:separator/>
      </w:r>
    </w:p>
  </w:endnote>
  <w:endnote w:type="continuationSeparator" w:id="0">
    <w:p w14:paraId="39D0F713" w14:textId="77777777" w:rsidR="00051F75" w:rsidRDefault="00051F75" w:rsidP="00627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7085816"/>
      <w:docPartObj>
        <w:docPartGallery w:val="Page Numbers (Bottom of Page)"/>
        <w:docPartUnique/>
      </w:docPartObj>
    </w:sdtPr>
    <w:sdtEndPr>
      <w:rPr>
        <w:noProof/>
      </w:rPr>
    </w:sdtEndPr>
    <w:sdtContent>
      <w:p w14:paraId="69F6E314" w14:textId="1AD5B7B5" w:rsidR="00051F75" w:rsidRDefault="00051F75" w:rsidP="005B00D1">
        <w:pPr>
          <w:pStyle w:val="Footer"/>
          <w:tabs>
            <w:tab w:val="clear" w:pos="9360"/>
            <w:tab w:val="right" w:pos="21600"/>
          </w:tabs>
          <w:ind w:left="90"/>
        </w:pPr>
        <w:r>
          <w:t>AWC Recommendation Tracking Detailed Report - 202</w:t>
        </w:r>
        <w:r w:rsidR="00581ED5">
          <w:t>3</w:t>
        </w:r>
        <w:r>
          <w:tab/>
        </w:r>
        <w:r>
          <w:fldChar w:fldCharType="begin"/>
        </w:r>
        <w:r>
          <w:instrText xml:space="preserve"> PAGE   \* MERGEFORMAT </w:instrText>
        </w:r>
        <w:r>
          <w:fldChar w:fldCharType="separate"/>
        </w:r>
        <w:r w:rsidR="005A7323">
          <w:rPr>
            <w:noProof/>
          </w:rPr>
          <w:t>1</w:t>
        </w:r>
        <w:r>
          <w:rPr>
            <w:noProof/>
          </w:rPr>
          <w:fldChar w:fldCharType="end"/>
        </w:r>
      </w:p>
    </w:sdtContent>
  </w:sdt>
  <w:p w14:paraId="3F72689B" w14:textId="161C73FA" w:rsidR="00051F75" w:rsidRDefault="00051F75" w:rsidP="00ED34B4">
    <w:pPr>
      <w:pStyle w:val="Footer"/>
      <w:tabs>
        <w:tab w:val="clear" w:pos="4680"/>
        <w:tab w:val="clear" w:pos="9360"/>
        <w:tab w:val="left" w:pos="184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A352" w14:textId="77777777" w:rsidR="00051F75" w:rsidRDefault="00051F75">
    <w:pPr>
      <w:pStyle w:val="Footer"/>
    </w:pPr>
    <w:r>
      <w:t>Water Literacy Project Team 2017 Recommendation Tracking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373C0" w14:textId="77777777" w:rsidR="00051F75" w:rsidRDefault="00051F75" w:rsidP="00627325">
      <w:pPr>
        <w:spacing w:after="0" w:line="240" w:lineRule="auto"/>
      </w:pPr>
      <w:r>
        <w:separator/>
      </w:r>
    </w:p>
  </w:footnote>
  <w:footnote w:type="continuationSeparator" w:id="0">
    <w:p w14:paraId="091D4343" w14:textId="77777777" w:rsidR="00051F75" w:rsidRDefault="00051F75" w:rsidP="00627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A3B"/>
    <w:multiLevelType w:val="hybridMultilevel"/>
    <w:tmpl w:val="D292A976"/>
    <w:lvl w:ilvl="0" w:tplc="D1E49070">
      <w:start w:val="1"/>
      <w:numFmt w:val="lowerLetter"/>
      <w:lvlText w:val="%1)"/>
      <w:lvlJc w:val="right"/>
      <w:pPr>
        <w:ind w:left="2160" w:hanging="180"/>
      </w:pPr>
      <w:rPr>
        <w:rFonts w:ascii="Times New Roman" w:eastAsiaTheme="minorEastAsia" w:hAnsi="Times New Roman" w:cstheme="minorBidi"/>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 w15:restartNumberingAfterBreak="0">
    <w:nsid w:val="11EE7CD6"/>
    <w:multiLevelType w:val="hybridMultilevel"/>
    <w:tmpl w:val="0C16F44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125E5E8D"/>
    <w:multiLevelType w:val="hybridMultilevel"/>
    <w:tmpl w:val="ECBC9DF2"/>
    <w:lvl w:ilvl="0" w:tplc="1009000F">
      <w:start w:val="1"/>
      <w:numFmt w:val="decimal"/>
      <w:lvlText w:val="%1."/>
      <w:lvlJc w:val="left"/>
      <w:pPr>
        <w:ind w:left="720" w:hanging="360"/>
      </w:pPr>
    </w:lvl>
    <w:lvl w:ilvl="1" w:tplc="10090003">
      <w:start w:val="1"/>
      <w:numFmt w:val="bullet"/>
      <w:lvlText w:val="o"/>
      <w:lvlJc w:val="left"/>
      <w:pPr>
        <w:ind w:left="1440" w:hanging="360"/>
      </w:pPr>
      <w:rPr>
        <w:rFonts w:ascii="Courier New" w:hAnsi="Courier New" w:cs="Courier New" w:hint="default"/>
      </w:rPr>
    </w:lvl>
    <w:lvl w:ilvl="2" w:tplc="DD4A114E">
      <w:start w:val="1"/>
      <w:numFmt w:val="lowerLetter"/>
      <w:lvlText w:val="%3)"/>
      <w:lvlJc w:val="left"/>
      <w:pPr>
        <w:ind w:left="786" w:hanging="36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19254F93"/>
    <w:multiLevelType w:val="hybridMultilevel"/>
    <w:tmpl w:val="F3D25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14A10"/>
    <w:multiLevelType w:val="hybridMultilevel"/>
    <w:tmpl w:val="3554532E"/>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20661E53"/>
    <w:multiLevelType w:val="hybridMultilevel"/>
    <w:tmpl w:val="F0769BA4"/>
    <w:lvl w:ilvl="0" w:tplc="10090017">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304745"/>
    <w:multiLevelType w:val="hybridMultilevel"/>
    <w:tmpl w:val="E8C42F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597E74"/>
    <w:multiLevelType w:val="hybridMultilevel"/>
    <w:tmpl w:val="A6D60290"/>
    <w:lvl w:ilvl="0" w:tplc="3ACACC00">
      <w:start w:val="1"/>
      <w:numFmt w:val="decimal"/>
      <w:lvlText w:val="%1)"/>
      <w:lvlJc w:val="left"/>
      <w:pPr>
        <w:ind w:left="102" w:hanging="360"/>
      </w:pPr>
      <w:rPr>
        <w:rFonts w:hint="default"/>
      </w:rPr>
    </w:lvl>
    <w:lvl w:ilvl="1" w:tplc="10090019" w:tentative="1">
      <w:start w:val="1"/>
      <w:numFmt w:val="lowerLetter"/>
      <w:lvlText w:val="%2."/>
      <w:lvlJc w:val="left"/>
      <w:pPr>
        <w:ind w:left="822" w:hanging="360"/>
      </w:pPr>
    </w:lvl>
    <w:lvl w:ilvl="2" w:tplc="1009001B" w:tentative="1">
      <w:start w:val="1"/>
      <w:numFmt w:val="lowerRoman"/>
      <w:lvlText w:val="%3."/>
      <w:lvlJc w:val="right"/>
      <w:pPr>
        <w:ind w:left="1542" w:hanging="180"/>
      </w:pPr>
    </w:lvl>
    <w:lvl w:ilvl="3" w:tplc="1009000F" w:tentative="1">
      <w:start w:val="1"/>
      <w:numFmt w:val="decimal"/>
      <w:lvlText w:val="%4."/>
      <w:lvlJc w:val="left"/>
      <w:pPr>
        <w:ind w:left="2262" w:hanging="360"/>
      </w:pPr>
    </w:lvl>
    <w:lvl w:ilvl="4" w:tplc="10090019" w:tentative="1">
      <w:start w:val="1"/>
      <w:numFmt w:val="lowerLetter"/>
      <w:lvlText w:val="%5."/>
      <w:lvlJc w:val="left"/>
      <w:pPr>
        <w:ind w:left="2982" w:hanging="360"/>
      </w:pPr>
    </w:lvl>
    <w:lvl w:ilvl="5" w:tplc="1009001B" w:tentative="1">
      <w:start w:val="1"/>
      <w:numFmt w:val="lowerRoman"/>
      <w:lvlText w:val="%6."/>
      <w:lvlJc w:val="right"/>
      <w:pPr>
        <w:ind w:left="3702" w:hanging="180"/>
      </w:pPr>
    </w:lvl>
    <w:lvl w:ilvl="6" w:tplc="1009000F" w:tentative="1">
      <w:start w:val="1"/>
      <w:numFmt w:val="decimal"/>
      <w:lvlText w:val="%7."/>
      <w:lvlJc w:val="left"/>
      <w:pPr>
        <w:ind w:left="4422" w:hanging="360"/>
      </w:pPr>
    </w:lvl>
    <w:lvl w:ilvl="7" w:tplc="10090019" w:tentative="1">
      <w:start w:val="1"/>
      <w:numFmt w:val="lowerLetter"/>
      <w:lvlText w:val="%8."/>
      <w:lvlJc w:val="left"/>
      <w:pPr>
        <w:ind w:left="5142" w:hanging="360"/>
      </w:pPr>
    </w:lvl>
    <w:lvl w:ilvl="8" w:tplc="1009001B" w:tentative="1">
      <w:start w:val="1"/>
      <w:numFmt w:val="lowerRoman"/>
      <w:lvlText w:val="%9."/>
      <w:lvlJc w:val="right"/>
      <w:pPr>
        <w:ind w:left="5862" w:hanging="180"/>
      </w:pPr>
    </w:lvl>
  </w:abstractNum>
  <w:abstractNum w:abstractNumId="8" w15:restartNumberingAfterBreak="0">
    <w:nsid w:val="30753759"/>
    <w:multiLevelType w:val="hybridMultilevel"/>
    <w:tmpl w:val="052CB68C"/>
    <w:lvl w:ilvl="0" w:tplc="496AB8A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9" w15:restartNumberingAfterBreak="0">
    <w:nsid w:val="32C27DFE"/>
    <w:multiLevelType w:val="hybridMultilevel"/>
    <w:tmpl w:val="A142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4255DC"/>
    <w:multiLevelType w:val="hybridMultilevel"/>
    <w:tmpl w:val="474A343E"/>
    <w:lvl w:ilvl="0" w:tplc="DD4A114E">
      <w:start w:val="1"/>
      <w:numFmt w:val="lowerLetter"/>
      <w:lvlText w:val="%1)"/>
      <w:lvlJc w:val="left"/>
      <w:pPr>
        <w:ind w:left="785"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 w15:restartNumberingAfterBreak="0">
    <w:nsid w:val="41772ED4"/>
    <w:multiLevelType w:val="hybridMultilevel"/>
    <w:tmpl w:val="5ECAC7E0"/>
    <w:lvl w:ilvl="0" w:tplc="10090001">
      <w:start w:val="1"/>
      <w:numFmt w:val="bullet"/>
      <w:lvlText w:val=""/>
      <w:lvlJc w:val="left"/>
      <w:pPr>
        <w:ind w:left="2204" w:hanging="360"/>
      </w:pPr>
      <w:rPr>
        <w:rFonts w:ascii="Symbol" w:hAnsi="Symbol" w:hint="default"/>
      </w:rPr>
    </w:lvl>
    <w:lvl w:ilvl="1" w:tplc="10090003" w:tentative="1">
      <w:start w:val="1"/>
      <w:numFmt w:val="bullet"/>
      <w:lvlText w:val="o"/>
      <w:lvlJc w:val="left"/>
      <w:pPr>
        <w:ind w:left="2924" w:hanging="360"/>
      </w:pPr>
      <w:rPr>
        <w:rFonts w:ascii="Courier New" w:hAnsi="Courier New" w:cs="Courier New" w:hint="default"/>
      </w:rPr>
    </w:lvl>
    <w:lvl w:ilvl="2" w:tplc="10090005" w:tentative="1">
      <w:start w:val="1"/>
      <w:numFmt w:val="bullet"/>
      <w:lvlText w:val=""/>
      <w:lvlJc w:val="left"/>
      <w:pPr>
        <w:ind w:left="3644" w:hanging="360"/>
      </w:pPr>
      <w:rPr>
        <w:rFonts w:ascii="Wingdings" w:hAnsi="Wingdings" w:hint="default"/>
      </w:rPr>
    </w:lvl>
    <w:lvl w:ilvl="3" w:tplc="10090001" w:tentative="1">
      <w:start w:val="1"/>
      <w:numFmt w:val="bullet"/>
      <w:lvlText w:val=""/>
      <w:lvlJc w:val="left"/>
      <w:pPr>
        <w:ind w:left="4364" w:hanging="360"/>
      </w:pPr>
      <w:rPr>
        <w:rFonts w:ascii="Symbol" w:hAnsi="Symbol" w:hint="default"/>
      </w:rPr>
    </w:lvl>
    <w:lvl w:ilvl="4" w:tplc="10090003" w:tentative="1">
      <w:start w:val="1"/>
      <w:numFmt w:val="bullet"/>
      <w:lvlText w:val="o"/>
      <w:lvlJc w:val="left"/>
      <w:pPr>
        <w:ind w:left="5084" w:hanging="360"/>
      </w:pPr>
      <w:rPr>
        <w:rFonts w:ascii="Courier New" w:hAnsi="Courier New" w:cs="Courier New" w:hint="default"/>
      </w:rPr>
    </w:lvl>
    <w:lvl w:ilvl="5" w:tplc="10090005" w:tentative="1">
      <w:start w:val="1"/>
      <w:numFmt w:val="bullet"/>
      <w:lvlText w:val=""/>
      <w:lvlJc w:val="left"/>
      <w:pPr>
        <w:ind w:left="5804" w:hanging="360"/>
      </w:pPr>
      <w:rPr>
        <w:rFonts w:ascii="Wingdings" w:hAnsi="Wingdings" w:hint="default"/>
      </w:rPr>
    </w:lvl>
    <w:lvl w:ilvl="6" w:tplc="10090001" w:tentative="1">
      <w:start w:val="1"/>
      <w:numFmt w:val="bullet"/>
      <w:lvlText w:val=""/>
      <w:lvlJc w:val="left"/>
      <w:pPr>
        <w:ind w:left="6524" w:hanging="360"/>
      </w:pPr>
      <w:rPr>
        <w:rFonts w:ascii="Symbol" w:hAnsi="Symbol" w:hint="default"/>
      </w:rPr>
    </w:lvl>
    <w:lvl w:ilvl="7" w:tplc="10090003" w:tentative="1">
      <w:start w:val="1"/>
      <w:numFmt w:val="bullet"/>
      <w:lvlText w:val="o"/>
      <w:lvlJc w:val="left"/>
      <w:pPr>
        <w:ind w:left="7244" w:hanging="360"/>
      </w:pPr>
      <w:rPr>
        <w:rFonts w:ascii="Courier New" w:hAnsi="Courier New" w:cs="Courier New" w:hint="default"/>
      </w:rPr>
    </w:lvl>
    <w:lvl w:ilvl="8" w:tplc="10090005" w:tentative="1">
      <w:start w:val="1"/>
      <w:numFmt w:val="bullet"/>
      <w:lvlText w:val=""/>
      <w:lvlJc w:val="left"/>
      <w:pPr>
        <w:ind w:left="7964" w:hanging="360"/>
      </w:pPr>
      <w:rPr>
        <w:rFonts w:ascii="Wingdings" w:hAnsi="Wingdings" w:hint="default"/>
      </w:rPr>
    </w:lvl>
  </w:abstractNum>
  <w:abstractNum w:abstractNumId="12" w15:restartNumberingAfterBreak="0">
    <w:nsid w:val="49724C0F"/>
    <w:multiLevelType w:val="hybridMultilevel"/>
    <w:tmpl w:val="37FC26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05E5B37"/>
    <w:multiLevelType w:val="hybridMultilevel"/>
    <w:tmpl w:val="1A8489D4"/>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4" w15:restartNumberingAfterBreak="0">
    <w:nsid w:val="52CE7DC6"/>
    <w:multiLevelType w:val="hybridMultilevel"/>
    <w:tmpl w:val="AB58FB0A"/>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56216A2A"/>
    <w:multiLevelType w:val="hybridMultilevel"/>
    <w:tmpl w:val="40FC9236"/>
    <w:lvl w:ilvl="0" w:tplc="10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6" w15:restartNumberingAfterBreak="0">
    <w:nsid w:val="59AB4FB8"/>
    <w:multiLevelType w:val="hybridMultilevel"/>
    <w:tmpl w:val="176AC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290B91"/>
    <w:multiLevelType w:val="hybridMultilevel"/>
    <w:tmpl w:val="D40EA4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5BC0C523"/>
    <w:multiLevelType w:val="hybridMultilevel"/>
    <w:tmpl w:val="F410BE84"/>
    <w:lvl w:ilvl="0" w:tplc="FFFFFFFF">
      <w:start w:val="1"/>
      <w:numFmt w:val="bullet"/>
      <w:lvlText w:val="-"/>
      <w:lvlJc w:val="left"/>
      <w:pPr>
        <w:ind w:left="720" w:hanging="360"/>
      </w:pPr>
      <w:rPr>
        <w:rFonts w:ascii="Calibri" w:hAnsi="Calibri" w:hint="default"/>
      </w:rPr>
    </w:lvl>
    <w:lvl w:ilvl="1" w:tplc="AA54D1F2">
      <w:start w:val="1"/>
      <w:numFmt w:val="bullet"/>
      <w:lvlText w:val="o"/>
      <w:lvlJc w:val="left"/>
      <w:pPr>
        <w:ind w:left="1440" w:hanging="360"/>
      </w:pPr>
      <w:rPr>
        <w:rFonts w:ascii="Courier New" w:hAnsi="Courier New" w:hint="default"/>
      </w:rPr>
    </w:lvl>
    <w:lvl w:ilvl="2" w:tplc="E6E0A0F4">
      <w:start w:val="1"/>
      <w:numFmt w:val="bullet"/>
      <w:lvlText w:val=""/>
      <w:lvlJc w:val="left"/>
      <w:pPr>
        <w:ind w:left="2160" w:hanging="360"/>
      </w:pPr>
      <w:rPr>
        <w:rFonts w:ascii="Wingdings" w:hAnsi="Wingdings" w:hint="default"/>
      </w:rPr>
    </w:lvl>
    <w:lvl w:ilvl="3" w:tplc="4898811A">
      <w:start w:val="1"/>
      <w:numFmt w:val="bullet"/>
      <w:lvlText w:val=""/>
      <w:lvlJc w:val="left"/>
      <w:pPr>
        <w:ind w:left="2880" w:hanging="360"/>
      </w:pPr>
      <w:rPr>
        <w:rFonts w:ascii="Symbol" w:hAnsi="Symbol" w:hint="default"/>
      </w:rPr>
    </w:lvl>
    <w:lvl w:ilvl="4" w:tplc="41F26AEA">
      <w:start w:val="1"/>
      <w:numFmt w:val="bullet"/>
      <w:lvlText w:val="o"/>
      <w:lvlJc w:val="left"/>
      <w:pPr>
        <w:ind w:left="3600" w:hanging="360"/>
      </w:pPr>
      <w:rPr>
        <w:rFonts w:ascii="Courier New" w:hAnsi="Courier New" w:hint="default"/>
      </w:rPr>
    </w:lvl>
    <w:lvl w:ilvl="5" w:tplc="28F6DE0C">
      <w:start w:val="1"/>
      <w:numFmt w:val="bullet"/>
      <w:lvlText w:val=""/>
      <w:lvlJc w:val="left"/>
      <w:pPr>
        <w:ind w:left="4320" w:hanging="360"/>
      </w:pPr>
      <w:rPr>
        <w:rFonts w:ascii="Wingdings" w:hAnsi="Wingdings" w:hint="default"/>
      </w:rPr>
    </w:lvl>
    <w:lvl w:ilvl="6" w:tplc="EBDAC998">
      <w:start w:val="1"/>
      <w:numFmt w:val="bullet"/>
      <w:lvlText w:val=""/>
      <w:lvlJc w:val="left"/>
      <w:pPr>
        <w:ind w:left="5040" w:hanging="360"/>
      </w:pPr>
      <w:rPr>
        <w:rFonts w:ascii="Symbol" w:hAnsi="Symbol" w:hint="default"/>
      </w:rPr>
    </w:lvl>
    <w:lvl w:ilvl="7" w:tplc="42AE7EA8">
      <w:start w:val="1"/>
      <w:numFmt w:val="bullet"/>
      <w:lvlText w:val="o"/>
      <w:lvlJc w:val="left"/>
      <w:pPr>
        <w:ind w:left="5760" w:hanging="360"/>
      </w:pPr>
      <w:rPr>
        <w:rFonts w:ascii="Courier New" w:hAnsi="Courier New" w:hint="default"/>
      </w:rPr>
    </w:lvl>
    <w:lvl w:ilvl="8" w:tplc="8B34D600">
      <w:start w:val="1"/>
      <w:numFmt w:val="bullet"/>
      <w:lvlText w:val=""/>
      <w:lvlJc w:val="left"/>
      <w:pPr>
        <w:ind w:left="6480" w:hanging="360"/>
      </w:pPr>
      <w:rPr>
        <w:rFonts w:ascii="Wingdings" w:hAnsi="Wingdings" w:hint="default"/>
      </w:rPr>
    </w:lvl>
  </w:abstractNum>
  <w:abstractNum w:abstractNumId="19" w15:restartNumberingAfterBreak="0">
    <w:nsid w:val="5E44180A"/>
    <w:multiLevelType w:val="hybridMultilevel"/>
    <w:tmpl w:val="DC7CFBA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00F4B0C"/>
    <w:multiLevelType w:val="hybridMultilevel"/>
    <w:tmpl w:val="12721286"/>
    <w:lvl w:ilvl="0" w:tplc="FC54C390">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75116E24"/>
    <w:multiLevelType w:val="hybridMultilevel"/>
    <w:tmpl w:val="45CADC7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BA9646D"/>
    <w:multiLevelType w:val="hybridMultilevel"/>
    <w:tmpl w:val="2D9C35AE"/>
    <w:lvl w:ilvl="0" w:tplc="F110B242">
      <w:start w:val="1"/>
      <w:numFmt w:val="lowerLetter"/>
      <w:lvlText w:val="%1)"/>
      <w:lvlJc w:val="left"/>
      <w:pPr>
        <w:ind w:left="990" w:hanging="360"/>
      </w:pPr>
      <w:rPr>
        <w:rFonts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23" w15:restartNumberingAfterBreak="0">
    <w:nsid w:val="7D4061EB"/>
    <w:multiLevelType w:val="hybridMultilevel"/>
    <w:tmpl w:val="1DFA6414"/>
    <w:lvl w:ilvl="0" w:tplc="96B87774">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num w:numId="1" w16cid:durableId="600992364">
    <w:abstractNumId w:val="7"/>
  </w:num>
  <w:num w:numId="2" w16cid:durableId="1517422194">
    <w:abstractNumId w:val="13"/>
  </w:num>
  <w:num w:numId="3" w16cid:durableId="1384987622">
    <w:abstractNumId w:val="22"/>
  </w:num>
  <w:num w:numId="4" w16cid:durableId="252056607">
    <w:abstractNumId w:val="5"/>
  </w:num>
  <w:num w:numId="5" w16cid:durableId="816413838">
    <w:abstractNumId w:val="11"/>
  </w:num>
  <w:num w:numId="6" w16cid:durableId="1551334421">
    <w:abstractNumId w:val="8"/>
  </w:num>
  <w:num w:numId="7" w16cid:durableId="122769068">
    <w:abstractNumId w:val="23"/>
  </w:num>
  <w:num w:numId="8" w16cid:durableId="1240678670">
    <w:abstractNumId w:val="20"/>
  </w:num>
  <w:num w:numId="9" w16cid:durableId="1445999205">
    <w:abstractNumId w:val="12"/>
  </w:num>
  <w:num w:numId="10" w16cid:durableId="159735743">
    <w:abstractNumId w:val="21"/>
  </w:num>
  <w:num w:numId="11" w16cid:durableId="638464611">
    <w:abstractNumId w:val="6"/>
  </w:num>
  <w:num w:numId="12" w16cid:durableId="66475000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7473416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581705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00191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392027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8390237">
    <w:abstractNumId w:val="2"/>
  </w:num>
  <w:num w:numId="18" w16cid:durableId="674184238">
    <w:abstractNumId w:val="0"/>
  </w:num>
  <w:num w:numId="19" w16cid:durableId="912546753">
    <w:abstractNumId w:val="19"/>
  </w:num>
  <w:num w:numId="20" w16cid:durableId="8141087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5944774">
    <w:abstractNumId w:val="1"/>
  </w:num>
  <w:num w:numId="22" w16cid:durableId="727188728">
    <w:abstractNumId w:val="16"/>
  </w:num>
  <w:num w:numId="23" w16cid:durableId="1062825374">
    <w:abstractNumId w:val="18"/>
  </w:num>
  <w:num w:numId="24" w16cid:durableId="611715770">
    <w:abstractNumId w:val="17"/>
  </w:num>
  <w:num w:numId="25" w16cid:durableId="1807507936">
    <w:abstractNumId w:val="3"/>
  </w:num>
  <w:num w:numId="26" w16cid:durableId="8674516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0NzUzNjO0MDewNDZW0lEKTi0uzszPAykwqQUA32T83CwAAAA="/>
  </w:docVars>
  <w:rsids>
    <w:rsidRoot w:val="00590AE7"/>
    <w:rsid w:val="00000813"/>
    <w:rsid w:val="00003F88"/>
    <w:rsid w:val="00007DE3"/>
    <w:rsid w:val="00017C46"/>
    <w:rsid w:val="00020648"/>
    <w:rsid w:val="000365A5"/>
    <w:rsid w:val="00051F75"/>
    <w:rsid w:val="00066F81"/>
    <w:rsid w:val="00080336"/>
    <w:rsid w:val="000A1D52"/>
    <w:rsid w:val="000D5516"/>
    <w:rsid w:val="000E2562"/>
    <w:rsid w:val="00102C30"/>
    <w:rsid w:val="001164B0"/>
    <w:rsid w:val="00132B58"/>
    <w:rsid w:val="00141589"/>
    <w:rsid w:val="00151EEA"/>
    <w:rsid w:val="00162699"/>
    <w:rsid w:val="00167DAC"/>
    <w:rsid w:val="00171A45"/>
    <w:rsid w:val="001773BD"/>
    <w:rsid w:val="001B1CDF"/>
    <w:rsid w:val="001B495D"/>
    <w:rsid w:val="001C5019"/>
    <w:rsid w:val="001C5D6E"/>
    <w:rsid w:val="001E703B"/>
    <w:rsid w:val="001E7994"/>
    <w:rsid w:val="002127F1"/>
    <w:rsid w:val="00216F1F"/>
    <w:rsid w:val="00230209"/>
    <w:rsid w:val="0023340F"/>
    <w:rsid w:val="0023523E"/>
    <w:rsid w:val="00247D50"/>
    <w:rsid w:val="00293907"/>
    <w:rsid w:val="00295F17"/>
    <w:rsid w:val="002A1E50"/>
    <w:rsid w:val="002B1368"/>
    <w:rsid w:val="002E2B81"/>
    <w:rsid w:val="00303E46"/>
    <w:rsid w:val="00306EE4"/>
    <w:rsid w:val="003133D3"/>
    <w:rsid w:val="003207FF"/>
    <w:rsid w:val="00343175"/>
    <w:rsid w:val="00350112"/>
    <w:rsid w:val="00360F00"/>
    <w:rsid w:val="00362336"/>
    <w:rsid w:val="00384976"/>
    <w:rsid w:val="003B1B27"/>
    <w:rsid w:val="003B731B"/>
    <w:rsid w:val="003D0F75"/>
    <w:rsid w:val="003D32D8"/>
    <w:rsid w:val="0041148E"/>
    <w:rsid w:val="00421BA2"/>
    <w:rsid w:val="00442C0F"/>
    <w:rsid w:val="00463A0D"/>
    <w:rsid w:val="00484448"/>
    <w:rsid w:val="004C31A5"/>
    <w:rsid w:val="004E5B54"/>
    <w:rsid w:val="004F28AC"/>
    <w:rsid w:val="005038EB"/>
    <w:rsid w:val="005214F9"/>
    <w:rsid w:val="005272ED"/>
    <w:rsid w:val="00533992"/>
    <w:rsid w:val="00540BCA"/>
    <w:rsid w:val="00553807"/>
    <w:rsid w:val="0055436A"/>
    <w:rsid w:val="0056508F"/>
    <w:rsid w:val="00570302"/>
    <w:rsid w:val="00581A02"/>
    <w:rsid w:val="00581ED5"/>
    <w:rsid w:val="005831CA"/>
    <w:rsid w:val="00590AE7"/>
    <w:rsid w:val="00592214"/>
    <w:rsid w:val="005A2A8E"/>
    <w:rsid w:val="005A7323"/>
    <w:rsid w:val="005B00D1"/>
    <w:rsid w:val="005E7771"/>
    <w:rsid w:val="005F6DCD"/>
    <w:rsid w:val="0060497D"/>
    <w:rsid w:val="00616F48"/>
    <w:rsid w:val="00627325"/>
    <w:rsid w:val="006716B1"/>
    <w:rsid w:val="00672835"/>
    <w:rsid w:val="00690833"/>
    <w:rsid w:val="00692DB1"/>
    <w:rsid w:val="006B6727"/>
    <w:rsid w:val="006E077B"/>
    <w:rsid w:val="007054C7"/>
    <w:rsid w:val="00713307"/>
    <w:rsid w:val="00730612"/>
    <w:rsid w:val="00730D3E"/>
    <w:rsid w:val="00752FE3"/>
    <w:rsid w:val="00760F86"/>
    <w:rsid w:val="00772184"/>
    <w:rsid w:val="007721EE"/>
    <w:rsid w:val="00773B36"/>
    <w:rsid w:val="00780278"/>
    <w:rsid w:val="00793C32"/>
    <w:rsid w:val="00794216"/>
    <w:rsid w:val="007E33C3"/>
    <w:rsid w:val="007E5B0F"/>
    <w:rsid w:val="008006B4"/>
    <w:rsid w:val="00825C01"/>
    <w:rsid w:val="00871750"/>
    <w:rsid w:val="00885BD6"/>
    <w:rsid w:val="00893E48"/>
    <w:rsid w:val="008D5793"/>
    <w:rsid w:val="008E1AF0"/>
    <w:rsid w:val="008F2047"/>
    <w:rsid w:val="00905C0A"/>
    <w:rsid w:val="00910BEF"/>
    <w:rsid w:val="00916B82"/>
    <w:rsid w:val="00922AD1"/>
    <w:rsid w:val="009A3D61"/>
    <w:rsid w:val="009D37F7"/>
    <w:rsid w:val="009F0B60"/>
    <w:rsid w:val="00A10D6D"/>
    <w:rsid w:val="00A12614"/>
    <w:rsid w:val="00A17D44"/>
    <w:rsid w:val="00A30BD6"/>
    <w:rsid w:val="00A44D69"/>
    <w:rsid w:val="00A51516"/>
    <w:rsid w:val="00AC7A66"/>
    <w:rsid w:val="00AE3EE4"/>
    <w:rsid w:val="00AF1CB0"/>
    <w:rsid w:val="00AF6604"/>
    <w:rsid w:val="00B07AA7"/>
    <w:rsid w:val="00B10FA1"/>
    <w:rsid w:val="00B17632"/>
    <w:rsid w:val="00B27C4A"/>
    <w:rsid w:val="00B47AAB"/>
    <w:rsid w:val="00B5244F"/>
    <w:rsid w:val="00B56C77"/>
    <w:rsid w:val="00B60615"/>
    <w:rsid w:val="00B632D5"/>
    <w:rsid w:val="00B65B50"/>
    <w:rsid w:val="00B72920"/>
    <w:rsid w:val="00B7486E"/>
    <w:rsid w:val="00B873A5"/>
    <w:rsid w:val="00B95131"/>
    <w:rsid w:val="00BF2D3B"/>
    <w:rsid w:val="00C25602"/>
    <w:rsid w:val="00C262D3"/>
    <w:rsid w:val="00C35925"/>
    <w:rsid w:val="00C52D73"/>
    <w:rsid w:val="00C70BD1"/>
    <w:rsid w:val="00C730EA"/>
    <w:rsid w:val="00C76BFD"/>
    <w:rsid w:val="00C86A5C"/>
    <w:rsid w:val="00CA0A9A"/>
    <w:rsid w:val="00CA0D0F"/>
    <w:rsid w:val="00CA69D6"/>
    <w:rsid w:val="00CD10FF"/>
    <w:rsid w:val="00CE21AA"/>
    <w:rsid w:val="00CE5992"/>
    <w:rsid w:val="00D0525E"/>
    <w:rsid w:val="00D073A3"/>
    <w:rsid w:val="00D40B9E"/>
    <w:rsid w:val="00D447D5"/>
    <w:rsid w:val="00D81CA2"/>
    <w:rsid w:val="00D963D8"/>
    <w:rsid w:val="00DB0875"/>
    <w:rsid w:val="00DB59CC"/>
    <w:rsid w:val="00DC4F16"/>
    <w:rsid w:val="00DC69D9"/>
    <w:rsid w:val="00DD09E6"/>
    <w:rsid w:val="00DE423A"/>
    <w:rsid w:val="00DE5D07"/>
    <w:rsid w:val="00E16573"/>
    <w:rsid w:val="00E16AB0"/>
    <w:rsid w:val="00E266A3"/>
    <w:rsid w:val="00E31EC6"/>
    <w:rsid w:val="00E4097F"/>
    <w:rsid w:val="00E667A9"/>
    <w:rsid w:val="00E76429"/>
    <w:rsid w:val="00E8251C"/>
    <w:rsid w:val="00EB2E0F"/>
    <w:rsid w:val="00EC0B78"/>
    <w:rsid w:val="00ED34B4"/>
    <w:rsid w:val="00EE2E37"/>
    <w:rsid w:val="00EE368C"/>
    <w:rsid w:val="00EE7A87"/>
    <w:rsid w:val="00EF39F2"/>
    <w:rsid w:val="00F003FA"/>
    <w:rsid w:val="00F03552"/>
    <w:rsid w:val="00F036AA"/>
    <w:rsid w:val="00F263AF"/>
    <w:rsid w:val="00F67148"/>
    <w:rsid w:val="00F80669"/>
    <w:rsid w:val="00F83F11"/>
    <w:rsid w:val="00FC1767"/>
    <w:rsid w:val="00FD052B"/>
    <w:rsid w:val="00FE3206"/>
    <w:rsid w:val="00FE426E"/>
    <w:rsid w:val="00FF5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73D8DF2F"/>
  <w14:defaultImageDpi w14:val="96"/>
  <w15:docId w15:val="{CDCE4AC5-0DF6-4C9C-88BA-7EF84C390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D3E"/>
    <w:pPr>
      <w:widowControl w:val="0"/>
    </w:pPr>
    <w:rPr>
      <w:rFonts w:ascii="Times New Roman" w:hAnsi="Times New Roman"/>
      <w:sz w:val="24"/>
    </w:rPr>
  </w:style>
  <w:style w:type="paragraph" w:styleId="Heading1">
    <w:name w:val="heading 1"/>
    <w:basedOn w:val="Normal"/>
    <w:next w:val="Normal"/>
    <w:link w:val="Heading1Char"/>
    <w:qFormat/>
    <w:locked/>
    <w:rsid w:val="00FC1767"/>
    <w:pPr>
      <w:keepNext/>
      <w:spacing w:before="480" w:after="0"/>
      <w:outlineLvl w:val="0"/>
    </w:pPr>
    <w:rPr>
      <w:rFonts w:asciiTheme="minorHAnsi" w:hAnsiTheme="minorHAnsi"/>
      <w:b/>
      <w:sz w:val="32"/>
      <w:szCs w:val="10"/>
    </w:rPr>
  </w:style>
  <w:style w:type="paragraph" w:styleId="Heading2">
    <w:name w:val="heading 2"/>
    <w:basedOn w:val="Normal"/>
    <w:next w:val="Normal"/>
    <w:link w:val="Heading2Char"/>
    <w:unhideWhenUsed/>
    <w:qFormat/>
    <w:locked/>
    <w:rsid w:val="00FC1767"/>
    <w:pPr>
      <w:keepNext/>
      <w:spacing w:before="240" w:after="0"/>
      <w:outlineLvl w:val="1"/>
    </w:pPr>
    <w:rPr>
      <w:rFonts w:ascii="Calibri" w:hAnsi="Calibri"/>
      <w:b/>
      <w:sz w:val="28"/>
    </w:rPr>
  </w:style>
  <w:style w:type="paragraph" w:styleId="Heading3">
    <w:name w:val="heading 3"/>
    <w:basedOn w:val="Normal"/>
    <w:next w:val="Normal"/>
    <w:link w:val="Heading3Char"/>
    <w:unhideWhenUsed/>
    <w:qFormat/>
    <w:locked/>
    <w:rsid w:val="00730612"/>
    <w:pPr>
      <w:keepNext/>
      <w:spacing w:before="200" w:after="0"/>
      <w:ind w:right="3168"/>
      <w:outlineLvl w:val="2"/>
    </w:pPr>
    <w:rPr>
      <w:rFonts w:cs="Calibri"/>
      <w:b/>
      <w:bCs/>
      <w:spacing w:val="-1"/>
    </w:rPr>
  </w:style>
  <w:style w:type="paragraph" w:styleId="Heading4">
    <w:name w:val="heading 4"/>
    <w:basedOn w:val="Normal"/>
    <w:next w:val="Normal"/>
    <w:link w:val="Heading4Char"/>
    <w:unhideWhenUsed/>
    <w:qFormat/>
    <w:locked/>
    <w:rsid w:val="00713307"/>
    <w:pPr>
      <w:keepNext/>
      <w:spacing w:after="0" w:line="240" w:lineRule="auto"/>
      <w:jc w:val="center"/>
      <w:outlineLvl w:val="3"/>
    </w:pPr>
    <w:rPr>
      <w:b/>
    </w:rPr>
  </w:style>
  <w:style w:type="paragraph" w:styleId="Heading5">
    <w:name w:val="heading 5"/>
    <w:basedOn w:val="Normal"/>
    <w:next w:val="Normal"/>
    <w:link w:val="Heading5Char"/>
    <w:unhideWhenUsed/>
    <w:qFormat/>
    <w:locked/>
    <w:rsid w:val="00442C0F"/>
    <w:pPr>
      <w:keepNext/>
      <w:framePr w:hSpace="180" w:wrap="around" w:vAnchor="page" w:hAnchor="margin" w:xAlign="center" w:y="2371"/>
      <w:spacing w:after="0" w:line="240" w:lineRule="auto"/>
      <w:jc w:val="center"/>
      <w:outlineLvl w:val="4"/>
    </w:pPr>
    <w:rPr>
      <w:b/>
      <w:sz w:val="28"/>
    </w:rPr>
  </w:style>
  <w:style w:type="paragraph" w:styleId="Heading6">
    <w:name w:val="heading 6"/>
    <w:basedOn w:val="Normal"/>
    <w:next w:val="Normal"/>
    <w:link w:val="Heading6Char"/>
    <w:unhideWhenUsed/>
    <w:qFormat/>
    <w:locked/>
    <w:rsid w:val="00DB0875"/>
    <w:pPr>
      <w:keepNext/>
      <w:outlineLvl w:val="5"/>
    </w:pPr>
    <w:rPr>
      <w:b/>
      <w:sz w:val="32"/>
      <w:szCs w:val="26"/>
    </w:rPr>
  </w:style>
  <w:style w:type="paragraph" w:styleId="Heading7">
    <w:name w:val="heading 7"/>
    <w:basedOn w:val="Normal"/>
    <w:next w:val="Normal"/>
    <w:link w:val="Heading7Char"/>
    <w:unhideWhenUsed/>
    <w:qFormat/>
    <w:locked/>
    <w:rsid w:val="00CA0A9A"/>
    <w:pPr>
      <w:keepNext/>
      <w:outlineLvl w:val="6"/>
    </w:pPr>
    <w:rPr>
      <w:b/>
    </w:rPr>
  </w:style>
  <w:style w:type="paragraph" w:styleId="Heading8">
    <w:name w:val="heading 8"/>
    <w:basedOn w:val="Normal"/>
    <w:next w:val="Normal"/>
    <w:link w:val="Heading8Char"/>
    <w:unhideWhenUsed/>
    <w:qFormat/>
    <w:locked/>
    <w:rsid w:val="00000813"/>
    <w:pPr>
      <w:keepNext/>
      <w:spacing w:after="0"/>
      <w:ind w:left="720" w:firstLine="720"/>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71A45"/>
    <w:rPr>
      <w:rFonts w:cs="Times New Roman"/>
      <w:color w:val="0000FF"/>
      <w:u w:val="single"/>
    </w:rPr>
  </w:style>
  <w:style w:type="character" w:styleId="FollowedHyperlink">
    <w:name w:val="FollowedHyperlink"/>
    <w:basedOn w:val="DefaultParagraphFont"/>
    <w:uiPriority w:val="99"/>
    <w:semiHidden/>
    <w:unhideWhenUsed/>
    <w:rsid w:val="002B1368"/>
    <w:rPr>
      <w:color w:val="AA8A14" w:themeColor="followedHyperlink"/>
      <w:u w:val="single"/>
    </w:rPr>
  </w:style>
  <w:style w:type="paragraph" w:styleId="BalloonText">
    <w:name w:val="Balloon Text"/>
    <w:basedOn w:val="Normal"/>
    <w:link w:val="BalloonTextChar"/>
    <w:uiPriority w:val="99"/>
    <w:semiHidden/>
    <w:unhideWhenUsed/>
    <w:rsid w:val="00BF2D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D3B"/>
    <w:rPr>
      <w:rFonts w:ascii="Tahoma" w:hAnsi="Tahoma" w:cs="Tahoma"/>
      <w:sz w:val="16"/>
      <w:szCs w:val="16"/>
    </w:rPr>
  </w:style>
  <w:style w:type="paragraph" w:styleId="Header">
    <w:name w:val="header"/>
    <w:basedOn w:val="Normal"/>
    <w:link w:val="HeaderChar"/>
    <w:uiPriority w:val="99"/>
    <w:unhideWhenUsed/>
    <w:rsid w:val="00627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325"/>
  </w:style>
  <w:style w:type="paragraph" w:styleId="Footer">
    <w:name w:val="footer"/>
    <w:basedOn w:val="Normal"/>
    <w:link w:val="FooterChar"/>
    <w:uiPriority w:val="99"/>
    <w:unhideWhenUsed/>
    <w:rsid w:val="00627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325"/>
  </w:style>
  <w:style w:type="character" w:customStyle="1" w:styleId="Heading1Char">
    <w:name w:val="Heading 1 Char"/>
    <w:basedOn w:val="DefaultParagraphFont"/>
    <w:link w:val="Heading1"/>
    <w:rsid w:val="00FC1767"/>
    <w:rPr>
      <w:rFonts w:asciiTheme="minorHAnsi" w:hAnsiTheme="minorHAnsi"/>
      <w:b/>
      <w:sz w:val="32"/>
      <w:szCs w:val="10"/>
    </w:rPr>
  </w:style>
  <w:style w:type="character" w:customStyle="1" w:styleId="Heading2Char">
    <w:name w:val="Heading 2 Char"/>
    <w:basedOn w:val="DefaultParagraphFont"/>
    <w:link w:val="Heading2"/>
    <w:rsid w:val="00FC1767"/>
    <w:rPr>
      <w:b/>
      <w:sz w:val="28"/>
    </w:rPr>
  </w:style>
  <w:style w:type="character" w:customStyle="1" w:styleId="Heading3Char">
    <w:name w:val="Heading 3 Char"/>
    <w:basedOn w:val="DefaultParagraphFont"/>
    <w:link w:val="Heading3"/>
    <w:rsid w:val="00730612"/>
    <w:rPr>
      <w:rFonts w:ascii="Times New Roman" w:hAnsi="Times New Roman" w:cs="Calibri"/>
      <w:b/>
      <w:bCs/>
      <w:spacing w:val="-1"/>
      <w:sz w:val="24"/>
    </w:rPr>
  </w:style>
  <w:style w:type="paragraph" w:styleId="BlockText">
    <w:name w:val="Block Text"/>
    <w:basedOn w:val="Normal"/>
    <w:uiPriority w:val="99"/>
    <w:unhideWhenUsed/>
    <w:rsid w:val="00167DAC"/>
    <w:pPr>
      <w:spacing w:after="0" w:line="240" w:lineRule="auto"/>
      <w:ind w:left="102" w:right="229"/>
    </w:pPr>
    <w:rPr>
      <w:rFonts w:cs="Calibri"/>
      <w:sz w:val="20"/>
      <w:szCs w:val="20"/>
    </w:rPr>
  </w:style>
  <w:style w:type="paragraph" w:styleId="ListParagraph">
    <w:name w:val="List Paragraph"/>
    <w:aliases w:val="List by bullet"/>
    <w:basedOn w:val="Normal"/>
    <w:link w:val="ListParagraphChar"/>
    <w:uiPriority w:val="34"/>
    <w:qFormat/>
    <w:rsid w:val="00167DAC"/>
    <w:pPr>
      <w:ind w:left="720"/>
      <w:contextualSpacing/>
    </w:pPr>
  </w:style>
  <w:style w:type="table" w:styleId="TableGrid">
    <w:name w:val="Table Grid"/>
    <w:basedOn w:val="TableNormal"/>
    <w:locked/>
    <w:rsid w:val="00A126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13307"/>
    <w:rPr>
      <w:b/>
    </w:rPr>
  </w:style>
  <w:style w:type="paragraph" w:styleId="Caption">
    <w:name w:val="caption"/>
    <w:basedOn w:val="Normal"/>
    <w:next w:val="Normal"/>
    <w:unhideWhenUsed/>
    <w:qFormat/>
    <w:locked/>
    <w:rsid w:val="00713307"/>
    <w:rPr>
      <w:b/>
    </w:rPr>
  </w:style>
  <w:style w:type="character" w:customStyle="1" w:styleId="Heading5Char">
    <w:name w:val="Heading 5 Char"/>
    <w:basedOn w:val="DefaultParagraphFont"/>
    <w:link w:val="Heading5"/>
    <w:rsid w:val="00442C0F"/>
    <w:rPr>
      <w:b/>
      <w:sz w:val="28"/>
    </w:rPr>
  </w:style>
  <w:style w:type="character" w:customStyle="1" w:styleId="Heading6Char">
    <w:name w:val="Heading 6 Char"/>
    <w:basedOn w:val="DefaultParagraphFont"/>
    <w:link w:val="Heading6"/>
    <w:rsid w:val="00DB0875"/>
    <w:rPr>
      <w:b/>
      <w:sz w:val="32"/>
      <w:szCs w:val="26"/>
    </w:rPr>
  </w:style>
  <w:style w:type="character" w:customStyle="1" w:styleId="Heading7Char">
    <w:name w:val="Heading 7 Char"/>
    <w:basedOn w:val="DefaultParagraphFont"/>
    <w:link w:val="Heading7"/>
    <w:rsid w:val="00CA0A9A"/>
    <w:rPr>
      <w:b/>
      <w:sz w:val="24"/>
    </w:rPr>
  </w:style>
  <w:style w:type="paragraph" w:styleId="BodyTextIndent">
    <w:name w:val="Body Text Indent"/>
    <w:basedOn w:val="Normal"/>
    <w:link w:val="BodyTextIndentChar"/>
    <w:uiPriority w:val="99"/>
    <w:unhideWhenUsed/>
    <w:rsid w:val="00CA0A9A"/>
    <w:pPr>
      <w:spacing w:after="0"/>
      <w:ind w:left="2160"/>
    </w:pPr>
  </w:style>
  <w:style w:type="character" w:customStyle="1" w:styleId="BodyTextIndentChar">
    <w:name w:val="Body Text Indent Char"/>
    <w:basedOn w:val="DefaultParagraphFont"/>
    <w:link w:val="BodyTextIndent"/>
    <w:uiPriority w:val="99"/>
    <w:rsid w:val="00CA0A9A"/>
    <w:rPr>
      <w:rFonts w:ascii="Times New Roman" w:hAnsi="Times New Roman"/>
      <w:sz w:val="24"/>
    </w:rPr>
  </w:style>
  <w:style w:type="character" w:customStyle="1" w:styleId="Heading8Char">
    <w:name w:val="Heading 8 Char"/>
    <w:basedOn w:val="DefaultParagraphFont"/>
    <w:link w:val="Heading8"/>
    <w:rsid w:val="00000813"/>
    <w:rPr>
      <w:rFonts w:ascii="Times New Roman" w:hAnsi="Times New Roman"/>
      <w:b/>
      <w:sz w:val="24"/>
    </w:rPr>
  </w:style>
  <w:style w:type="paragraph" w:styleId="BodyText">
    <w:name w:val="Body Text"/>
    <w:basedOn w:val="Normal"/>
    <w:link w:val="BodyTextChar"/>
    <w:uiPriority w:val="99"/>
    <w:unhideWhenUsed/>
    <w:rsid w:val="00B07AA7"/>
    <w:pPr>
      <w:spacing w:after="0"/>
    </w:pPr>
  </w:style>
  <w:style w:type="character" w:customStyle="1" w:styleId="BodyTextChar">
    <w:name w:val="Body Text Char"/>
    <w:basedOn w:val="DefaultParagraphFont"/>
    <w:link w:val="BodyText"/>
    <w:uiPriority w:val="99"/>
    <w:rsid w:val="00B07AA7"/>
    <w:rPr>
      <w:rFonts w:ascii="Times New Roman" w:hAnsi="Times New Roman"/>
      <w:sz w:val="24"/>
    </w:rPr>
  </w:style>
  <w:style w:type="character" w:styleId="CommentReference">
    <w:name w:val="annotation reference"/>
    <w:basedOn w:val="DefaultParagraphFont"/>
    <w:uiPriority w:val="99"/>
    <w:semiHidden/>
    <w:unhideWhenUsed/>
    <w:rsid w:val="00EC0B78"/>
    <w:rPr>
      <w:sz w:val="16"/>
      <w:szCs w:val="16"/>
    </w:rPr>
  </w:style>
  <w:style w:type="paragraph" w:styleId="CommentText">
    <w:name w:val="annotation text"/>
    <w:basedOn w:val="Normal"/>
    <w:link w:val="CommentTextChar"/>
    <w:uiPriority w:val="99"/>
    <w:semiHidden/>
    <w:unhideWhenUsed/>
    <w:rsid w:val="00EC0B78"/>
    <w:pPr>
      <w:spacing w:line="240" w:lineRule="auto"/>
    </w:pPr>
    <w:rPr>
      <w:sz w:val="20"/>
      <w:szCs w:val="20"/>
    </w:rPr>
  </w:style>
  <w:style w:type="character" w:customStyle="1" w:styleId="CommentTextChar">
    <w:name w:val="Comment Text Char"/>
    <w:basedOn w:val="DefaultParagraphFont"/>
    <w:link w:val="CommentText"/>
    <w:uiPriority w:val="99"/>
    <w:semiHidden/>
    <w:rsid w:val="00EC0B78"/>
    <w:rPr>
      <w:sz w:val="20"/>
      <w:szCs w:val="20"/>
    </w:rPr>
  </w:style>
  <w:style w:type="paragraph" w:styleId="CommentSubject">
    <w:name w:val="annotation subject"/>
    <w:basedOn w:val="CommentText"/>
    <w:next w:val="CommentText"/>
    <w:link w:val="CommentSubjectChar"/>
    <w:uiPriority w:val="99"/>
    <w:semiHidden/>
    <w:unhideWhenUsed/>
    <w:rsid w:val="00EC0B78"/>
    <w:rPr>
      <w:b/>
      <w:bCs/>
    </w:rPr>
  </w:style>
  <w:style w:type="character" w:customStyle="1" w:styleId="CommentSubjectChar">
    <w:name w:val="Comment Subject Char"/>
    <w:basedOn w:val="CommentTextChar"/>
    <w:link w:val="CommentSubject"/>
    <w:uiPriority w:val="99"/>
    <w:semiHidden/>
    <w:rsid w:val="00EC0B78"/>
    <w:rPr>
      <w:b/>
      <w:bCs/>
      <w:sz w:val="20"/>
      <w:szCs w:val="20"/>
    </w:rPr>
  </w:style>
  <w:style w:type="paragraph" w:styleId="FootnoteText">
    <w:name w:val="footnote text"/>
    <w:basedOn w:val="Normal"/>
    <w:link w:val="FootnoteTextChar"/>
    <w:uiPriority w:val="99"/>
    <w:semiHidden/>
    <w:unhideWhenUsed/>
    <w:rsid w:val="00893E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3E48"/>
    <w:rPr>
      <w:rFonts w:ascii="Times New Roman" w:hAnsi="Times New Roman"/>
      <w:sz w:val="20"/>
      <w:szCs w:val="20"/>
    </w:rPr>
  </w:style>
  <w:style w:type="character" w:styleId="FootnoteReference">
    <w:name w:val="footnote reference"/>
    <w:basedOn w:val="DefaultParagraphFont"/>
    <w:uiPriority w:val="99"/>
    <w:semiHidden/>
    <w:unhideWhenUsed/>
    <w:rsid w:val="00893E48"/>
    <w:rPr>
      <w:vertAlign w:val="superscript"/>
    </w:rPr>
  </w:style>
  <w:style w:type="character" w:customStyle="1" w:styleId="UnresolvedMention1">
    <w:name w:val="Unresolved Mention1"/>
    <w:basedOn w:val="DefaultParagraphFont"/>
    <w:uiPriority w:val="99"/>
    <w:semiHidden/>
    <w:unhideWhenUsed/>
    <w:rsid w:val="003207FF"/>
    <w:rPr>
      <w:color w:val="808080"/>
      <w:shd w:val="clear" w:color="auto" w:fill="E6E6E6"/>
    </w:rPr>
  </w:style>
  <w:style w:type="table" w:customStyle="1" w:styleId="TableGrid1">
    <w:name w:val="Table Grid1"/>
    <w:basedOn w:val="TableNormal"/>
    <w:next w:val="TableGrid"/>
    <w:rsid w:val="004C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y bullet Char"/>
    <w:basedOn w:val="DefaultParagraphFont"/>
    <w:link w:val="ListParagraph"/>
    <w:uiPriority w:val="34"/>
    <w:locked/>
    <w:rsid w:val="00132B58"/>
    <w:rPr>
      <w:rFonts w:ascii="Times New Roman" w:hAnsi="Times New Roman"/>
      <w:sz w:val="24"/>
    </w:rPr>
  </w:style>
  <w:style w:type="character" w:styleId="UnresolvedMention">
    <w:name w:val="Unresolved Mention"/>
    <w:basedOn w:val="DefaultParagraphFont"/>
    <w:uiPriority w:val="99"/>
    <w:semiHidden/>
    <w:unhideWhenUsed/>
    <w:rsid w:val="001E79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09674">
      <w:bodyDiv w:val="1"/>
      <w:marLeft w:val="0"/>
      <w:marRight w:val="0"/>
      <w:marTop w:val="0"/>
      <w:marBottom w:val="0"/>
      <w:divBdr>
        <w:top w:val="none" w:sz="0" w:space="0" w:color="auto"/>
        <w:left w:val="none" w:sz="0" w:space="0" w:color="auto"/>
        <w:bottom w:val="none" w:sz="0" w:space="0" w:color="auto"/>
        <w:right w:val="none" w:sz="0" w:space="0" w:color="auto"/>
      </w:divBdr>
    </w:div>
    <w:div w:id="114718507">
      <w:bodyDiv w:val="1"/>
      <w:marLeft w:val="0"/>
      <w:marRight w:val="0"/>
      <w:marTop w:val="0"/>
      <w:marBottom w:val="0"/>
      <w:divBdr>
        <w:top w:val="none" w:sz="0" w:space="0" w:color="auto"/>
        <w:left w:val="none" w:sz="0" w:space="0" w:color="auto"/>
        <w:bottom w:val="none" w:sz="0" w:space="0" w:color="auto"/>
        <w:right w:val="none" w:sz="0" w:space="0" w:color="auto"/>
      </w:divBdr>
    </w:div>
    <w:div w:id="283000323">
      <w:bodyDiv w:val="1"/>
      <w:marLeft w:val="0"/>
      <w:marRight w:val="0"/>
      <w:marTop w:val="0"/>
      <w:marBottom w:val="0"/>
      <w:divBdr>
        <w:top w:val="none" w:sz="0" w:space="0" w:color="auto"/>
        <w:left w:val="none" w:sz="0" w:space="0" w:color="auto"/>
        <w:bottom w:val="none" w:sz="0" w:space="0" w:color="auto"/>
        <w:right w:val="none" w:sz="0" w:space="0" w:color="auto"/>
      </w:divBdr>
    </w:div>
    <w:div w:id="369569408">
      <w:bodyDiv w:val="1"/>
      <w:marLeft w:val="0"/>
      <w:marRight w:val="0"/>
      <w:marTop w:val="0"/>
      <w:marBottom w:val="0"/>
      <w:divBdr>
        <w:top w:val="none" w:sz="0" w:space="0" w:color="auto"/>
        <w:left w:val="none" w:sz="0" w:space="0" w:color="auto"/>
        <w:bottom w:val="none" w:sz="0" w:space="0" w:color="auto"/>
        <w:right w:val="none" w:sz="0" w:space="0" w:color="auto"/>
      </w:divBdr>
    </w:div>
    <w:div w:id="529028468">
      <w:bodyDiv w:val="1"/>
      <w:marLeft w:val="0"/>
      <w:marRight w:val="0"/>
      <w:marTop w:val="0"/>
      <w:marBottom w:val="0"/>
      <w:divBdr>
        <w:top w:val="none" w:sz="0" w:space="0" w:color="auto"/>
        <w:left w:val="none" w:sz="0" w:space="0" w:color="auto"/>
        <w:bottom w:val="none" w:sz="0" w:space="0" w:color="auto"/>
        <w:right w:val="none" w:sz="0" w:space="0" w:color="auto"/>
      </w:divBdr>
    </w:div>
    <w:div w:id="802894861">
      <w:bodyDiv w:val="1"/>
      <w:marLeft w:val="0"/>
      <w:marRight w:val="0"/>
      <w:marTop w:val="0"/>
      <w:marBottom w:val="0"/>
      <w:divBdr>
        <w:top w:val="none" w:sz="0" w:space="0" w:color="auto"/>
        <w:left w:val="none" w:sz="0" w:space="0" w:color="auto"/>
        <w:bottom w:val="none" w:sz="0" w:space="0" w:color="auto"/>
        <w:right w:val="none" w:sz="0" w:space="0" w:color="auto"/>
      </w:divBdr>
    </w:div>
    <w:div w:id="1023046235">
      <w:bodyDiv w:val="1"/>
      <w:marLeft w:val="0"/>
      <w:marRight w:val="0"/>
      <w:marTop w:val="0"/>
      <w:marBottom w:val="0"/>
      <w:divBdr>
        <w:top w:val="none" w:sz="0" w:space="0" w:color="auto"/>
        <w:left w:val="none" w:sz="0" w:space="0" w:color="auto"/>
        <w:bottom w:val="none" w:sz="0" w:space="0" w:color="auto"/>
        <w:right w:val="none" w:sz="0" w:space="0" w:color="auto"/>
      </w:divBdr>
    </w:div>
    <w:div w:id="1709185237">
      <w:bodyDiv w:val="1"/>
      <w:marLeft w:val="0"/>
      <w:marRight w:val="0"/>
      <w:marTop w:val="0"/>
      <w:marBottom w:val="0"/>
      <w:divBdr>
        <w:top w:val="none" w:sz="0" w:space="0" w:color="auto"/>
        <w:left w:val="none" w:sz="0" w:space="0" w:color="auto"/>
        <w:bottom w:val="none" w:sz="0" w:space="0" w:color="auto"/>
        <w:right w:val="none" w:sz="0" w:space="0" w:color="auto"/>
      </w:divBdr>
    </w:div>
    <w:div w:id="1874920874">
      <w:bodyDiv w:val="1"/>
      <w:marLeft w:val="0"/>
      <w:marRight w:val="0"/>
      <w:marTop w:val="0"/>
      <w:marBottom w:val="0"/>
      <w:divBdr>
        <w:top w:val="none" w:sz="0" w:space="0" w:color="auto"/>
        <w:left w:val="none" w:sz="0" w:space="0" w:color="auto"/>
        <w:bottom w:val="none" w:sz="0" w:space="0" w:color="auto"/>
        <w:right w:val="none" w:sz="0" w:space="0" w:color="auto"/>
      </w:divBdr>
    </w:div>
    <w:div w:id="1916357679">
      <w:bodyDiv w:val="1"/>
      <w:marLeft w:val="0"/>
      <w:marRight w:val="0"/>
      <w:marTop w:val="0"/>
      <w:marBottom w:val="0"/>
      <w:divBdr>
        <w:top w:val="none" w:sz="0" w:space="0" w:color="auto"/>
        <w:left w:val="none" w:sz="0" w:space="0" w:color="auto"/>
        <w:bottom w:val="none" w:sz="0" w:space="0" w:color="auto"/>
        <w:right w:val="none" w:sz="0" w:space="0" w:color="auto"/>
      </w:divBdr>
    </w:div>
    <w:div w:id="19295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alberta.ca/publications/standards-for-micro-waterworks-system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lberta.ca/drough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loods.alberta.ca" TargetMode="External"/><Relationship Id="rId4" Type="http://schemas.openxmlformats.org/officeDocument/2006/relationships/settings" Target="settings.xml"/><Relationship Id="rId9" Type="http://schemas.openxmlformats.org/officeDocument/2006/relationships/hyperlink" Target="https://open.alberta.ca/publications/public-health-guidelines-non-municipal-drinking-water"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F271C"/>
      </a:dk2>
      <a:lt2>
        <a:srgbClr val="D8D8D8"/>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03990-53C8-4188-B688-04E670D6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3099</Words>
  <Characters>18108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Project</vt:lpstr>
    </vt:vector>
  </TitlesOfParts>
  <Company>Alberta Water Counicl</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creator>Andre Asselin</dc:creator>
  <cp:lastModifiedBy>Anuja Hoddinott</cp:lastModifiedBy>
  <cp:revision>7</cp:revision>
  <cp:lastPrinted>2020-02-20T22:52:00Z</cp:lastPrinted>
  <dcterms:created xsi:type="dcterms:W3CDTF">2022-02-04T16:36:00Z</dcterms:created>
  <dcterms:modified xsi:type="dcterms:W3CDTF">2023-07-05T16:40:00Z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1644-06-04T11:49:02Z</vt:filetime>
  </property>
  <property fmtid="{D5CDD505-2E9C-101B-9397-08002B2CF9AE}" pid="3" name="LastSaved">
    <vt:filetime>1644-06-04T11:53:51Z</vt:filetime>
  </property>
  <property fmtid="{D5CDD505-2E9C-101B-9397-08002B2CF9AE}" pid="4" name="MSIP_Label_abf2ea38-542c-4b75-bd7d-582ec36a519f_Enabled">
    <vt:lpwstr>true</vt:lpwstr>
  </property>
  <property fmtid="{D5CDD505-2E9C-101B-9397-08002B2CF9AE}" pid="5" name="MSIP_Label_abf2ea38-542c-4b75-bd7d-582ec36a519f_SetDate">
    <vt:lpwstr>2021-01-21T15:48:34Z</vt:lpwstr>
  </property>
  <property fmtid="{D5CDD505-2E9C-101B-9397-08002B2CF9AE}" pid="6" name="MSIP_Label_abf2ea38-542c-4b75-bd7d-582ec36a519f_Method">
    <vt:lpwstr>Standard</vt:lpwstr>
  </property>
  <property fmtid="{D5CDD505-2E9C-101B-9397-08002B2CF9AE}" pid="7" name="MSIP_Label_abf2ea38-542c-4b75-bd7d-582ec36a519f_Name">
    <vt:lpwstr>Protected A</vt:lpwstr>
  </property>
  <property fmtid="{D5CDD505-2E9C-101B-9397-08002B2CF9AE}" pid="8" name="MSIP_Label_abf2ea38-542c-4b75-bd7d-582ec36a519f_SiteId">
    <vt:lpwstr>2bb51c06-af9b-42c5-8bf5-3c3b7b10850b</vt:lpwstr>
  </property>
  <property fmtid="{D5CDD505-2E9C-101B-9397-08002B2CF9AE}" pid="9" name="MSIP_Label_abf2ea38-542c-4b75-bd7d-582ec36a519f_ActionId">
    <vt:lpwstr>e11d5708-93b8-4203-b77a-427a65dbd1a4</vt:lpwstr>
  </property>
  <property fmtid="{D5CDD505-2E9C-101B-9397-08002B2CF9AE}" pid="10" name="MSIP_Label_abf2ea38-542c-4b75-bd7d-582ec36a519f_ContentBits">
    <vt:lpwstr>2</vt:lpwstr>
  </property>
</Properties>
</file>