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080" w:type="dxa"/>
        <w:tblInd w:w="93" w:type="dxa"/>
        <w:tblLook w:val="04A0" w:firstRow="1" w:lastRow="0" w:firstColumn="1" w:lastColumn="0" w:noHBand="0" w:noVBand="1"/>
      </w:tblPr>
      <w:tblGrid>
        <w:gridCol w:w="865"/>
        <w:gridCol w:w="581"/>
        <w:gridCol w:w="1280"/>
        <w:gridCol w:w="2114"/>
        <w:gridCol w:w="1696"/>
        <w:gridCol w:w="3702"/>
        <w:gridCol w:w="1450"/>
        <w:gridCol w:w="1236"/>
        <w:gridCol w:w="1493"/>
        <w:gridCol w:w="6663"/>
      </w:tblGrid>
      <w:tr w:rsidR="00B55B19" w:rsidRPr="00B55B19" w:rsidTr="00B55B19">
        <w:trPr>
          <w:trHeight w:val="885"/>
        </w:trPr>
        <w:tc>
          <w:tcPr>
            <w:tcW w:w="751"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Project Team</w:t>
            </w:r>
          </w:p>
        </w:tc>
        <w:tc>
          <w:tcPr>
            <w:tcW w:w="581" w:type="dxa"/>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Rec #</w:t>
            </w:r>
          </w:p>
        </w:tc>
        <w:tc>
          <w:tcPr>
            <w:tcW w:w="1152"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 xml:space="preserve">Project Completion </w:t>
            </w:r>
          </w:p>
        </w:tc>
        <w:tc>
          <w:tcPr>
            <w:tcW w:w="1928"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Implementer</w:t>
            </w:r>
          </w:p>
        </w:tc>
        <w:tc>
          <w:tcPr>
            <w:tcW w:w="1589"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Implementation Target</w:t>
            </w:r>
          </w:p>
        </w:tc>
        <w:tc>
          <w:tcPr>
            <w:tcW w:w="4164" w:type="dxa"/>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Recommendation</w:t>
            </w:r>
          </w:p>
        </w:tc>
        <w:tc>
          <w:tcPr>
            <w:tcW w:w="3898" w:type="dxa"/>
            <w:gridSpan w:val="3"/>
            <w:tcBorders>
              <w:top w:val="single" w:sz="4" w:space="0" w:color="auto"/>
              <w:left w:val="nil"/>
              <w:bottom w:val="single" w:sz="4" w:space="0" w:color="auto"/>
              <w:right w:val="single" w:sz="4" w:space="0" w:color="000000"/>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Status at-a-glance</w:t>
            </w:r>
          </w:p>
        </w:tc>
        <w:tc>
          <w:tcPr>
            <w:tcW w:w="7017" w:type="dxa"/>
            <w:tcBorders>
              <w:top w:val="single" w:sz="4" w:space="0" w:color="auto"/>
              <w:left w:val="nil"/>
              <w:bottom w:val="single" w:sz="4" w:space="0" w:color="auto"/>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 xml:space="preserve">Status                                                                                                                  </w:t>
            </w:r>
          </w:p>
        </w:tc>
      </w:tr>
      <w:tr w:rsidR="00B55B19" w:rsidRPr="00B55B19" w:rsidTr="00B55B19">
        <w:trPr>
          <w:trHeight w:val="1425"/>
        </w:trPr>
        <w:tc>
          <w:tcPr>
            <w:tcW w:w="751"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581"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4164" w:type="dxa"/>
            <w:vMerge/>
            <w:tcBorders>
              <w:top w:val="single" w:sz="4" w:space="0" w:color="auto"/>
              <w:left w:val="single" w:sz="4" w:space="0" w:color="auto"/>
              <w:bottom w:val="single" w:sz="4" w:space="0" w:color="000000"/>
              <w:right w:val="single" w:sz="4" w:space="0" w:color="auto"/>
            </w:tcBorders>
            <w:vAlign w:val="center"/>
            <w:hideMark/>
          </w:tcPr>
          <w:p w:rsidR="00B55B19" w:rsidRPr="00B55B19" w:rsidRDefault="00B55B19" w:rsidP="00B55B19">
            <w:pPr>
              <w:spacing w:after="0" w:line="240" w:lineRule="auto"/>
              <w:rPr>
                <w:rFonts w:ascii="Calibri" w:eastAsia="Times New Roman" w:hAnsi="Calibri" w:cs="Calibri"/>
                <w:b/>
                <w:bCs/>
                <w:color w:val="000000"/>
              </w:rPr>
            </w:pPr>
          </w:p>
        </w:tc>
        <w:tc>
          <w:tcPr>
            <w:tcW w:w="1296" w:type="dxa"/>
            <w:tcBorders>
              <w:top w:val="nil"/>
              <w:left w:val="nil"/>
              <w:bottom w:val="single" w:sz="4" w:space="0" w:color="auto"/>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Implemented</w:t>
            </w:r>
          </w:p>
        </w:tc>
        <w:tc>
          <w:tcPr>
            <w:tcW w:w="1295" w:type="dxa"/>
            <w:tcBorders>
              <w:top w:val="nil"/>
              <w:left w:val="nil"/>
              <w:bottom w:val="single" w:sz="4" w:space="0" w:color="auto"/>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In Progress</w:t>
            </w:r>
          </w:p>
        </w:tc>
        <w:tc>
          <w:tcPr>
            <w:tcW w:w="1307" w:type="dxa"/>
            <w:tcBorders>
              <w:top w:val="nil"/>
              <w:left w:val="nil"/>
              <w:bottom w:val="single" w:sz="4" w:space="0" w:color="auto"/>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Not Under Consideration at this time</w:t>
            </w:r>
          </w:p>
        </w:tc>
        <w:tc>
          <w:tcPr>
            <w:tcW w:w="7017" w:type="dxa"/>
            <w:tcBorders>
              <w:top w:val="nil"/>
              <w:left w:val="nil"/>
              <w:bottom w:val="single" w:sz="4" w:space="0" w:color="auto"/>
              <w:right w:val="single" w:sz="4" w:space="0" w:color="auto"/>
            </w:tcBorders>
            <w:shd w:val="clear" w:color="000000" w:fill="8DB4E2"/>
            <w:vAlign w:val="center"/>
            <w:hideMark/>
          </w:tcPr>
          <w:p w:rsidR="00B55B19" w:rsidRPr="00B55B19" w:rsidRDefault="00B55B19" w:rsidP="00B55B19">
            <w:pPr>
              <w:spacing w:after="0" w:line="240" w:lineRule="auto"/>
              <w:jc w:val="center"/>
              <w:rPr>
                <w:rFonts w:ascii="Calibri" w:eastAsia="Times New Roman" w:hAnsi="Calibri" w:cs="Calibri"/>
                <w:b/>
                <w:bCs/>
                <w:color w:val="000000"/>
              </w:rPr>
            </w:pPr>
            <w:r w:rsidRPr="00B55B19">
              <w:rPr>
                <w:rFonts w:ascii="Calibri" w:eastAsia="Times New Roman" w:hAnsi="Calibri" w:cs="Calibri"/>
                <w:b/>
                <w:bCs/>
                <w:color w:val="000000"/>
              </w:rPr>
              <w:t xml:space="preserve"> *NOTE* The updates below are provided by the identified implementer(s) and do not necessarily reflect the interpretation of the Alberta Water Council</w:t>
            </w:r>
          </w:p>
        </w:tc>
      </w:tr>
      <w:tr w:rsidR="00B55B19" w:rsidRPr="00B55B19" w:rsidTr="00B55B19">
        <w:trPr>
          <w:trHeight w:val="5100"/>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GoA/AWC/WPACs/ASN</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Ongoing twice a year</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GOA and each WFL partnership, where appropriate, commit resources where available to build and/or update their own websites regularly (at least twice per year), posting appropriate materials such as data and reports as soon as they are available.</w:t>
            </w:r>
          </w:p>
        </w:tc>
        <w:tc>
          <w:tcPr>
            <w:tcW w:w="1296"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307" w:type="dxa"/>
            <w:tcBorders>
              <w:top w:val="nil"/>
              <w:left w:val="nil"/>
              <w:bottom w:val="nil"/>
              <w:right w:val="nil"/>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p>
        </w:tc>
        <w:tc>
          <w:tcPr>
            <w:tcW w:w="7017" w:type="dxa"/>
            <w:tcBorders>
              <w:top w:val="nil"/>
              <w:left w:val="single" w:sz="4" w:space="0" w:color="auto"/>
              <w:bottom w:val="single" w:sz="4" w:space="0" w:color="auto"/>
              <w:right w:val="single" w:sz="4" w:space="0" w:color="auto"/>
            </w:tcBorders>
            <w:shd w:val="clear" w:color="000000" w:fill="FFFFFF"/>
            <w:hideMark/>
          </w:tcPr>
          <w:p w:rsidR="00A250AE" w:rsidRDefault="00B55B19" w:rsidP="00A250AE">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ASN</w:t>
            </w:r>
            <w:r w:rsidR="00A250AE">
              <w:rPr>
                <w:rFonts w:ascii="Calibri" w:eastAsia="Times New Roman" w:hAnsi="Calibri" w:cs="Calibri"/>
                <w:color w:val="000000"/>
                <w:sz w:val="20"/>
                <w:szCs w:val="20"/>
              </w:rPr>
              <w:t xml:space="preserve"> Program:</w:t>
            </w:r>
            <w:r w:rsidR="00A250AE">
              <w:rPr>
                <w:rFonts w:ascii="Calibri" w:eastAsia="Times New Roman" w:hAnsi="Calibri" w:cs="Calibri"/>
                <w:color w:val="000000"/>
                <w:sz w:val="20"/>
                <w:szCs w:val="20"/>
              </w:rPr>
              <w:br/>
              <w:t>•</w:t>
            </w:r>
            <w:r w:rsidR="00A250AE" w:rsidRPr="00E43A79">
              <w:rPr>
                <w:rFonts w:ascii="Calibri" w:eastAsia="Times New Roman" w:hAnsi="Calibri" w:cs="Calibri"/>
                <w:color w:val="000000"/>
                <w:sz w:val="20"/>
                <w:szCs w:val="20"/>
                <w:highlight w:val="yellow"/>
              </w:rPr>
              <w:t>In April 2012 LSC launched online Stewardship Directory</w:t>
            </w:r>
          </w:p>
          <w:p w:rsidR="00B55B19" w:rsidRPr="00B55B19" w:rsidRDefault="00A250AE" w:rsidP="00A250A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•Web presence for ASN on LSC website launched fall 2011</w:t>
            </w:r>
            <w:r w:rsidR="00B55B19" w:rsidRPr="00B55B19">
              <w:rPr>
                <w:rFonts w:ascii="Calibri" w:eastAsia="Times New Roman" w:hAnsi="Calibri" w:cs="Calibri"/>
                <w:color w:val="000000"/>
                <w:sz w:val="20"/>
                <w:szCs w:val="20"/>
              </w:rPr>
              <w:br/>
            </w:r>
            <w:r>
              <w:rPr>
                <w:rFonts w:ascii="Calibri" w:eastAsia="Times New Roman" w:hAnsi="Calibri" w:cs="Calibri"/>
                <w:color w:val="000000"/>
                <w:sz w:val="20"/>
                <w:szCs w:val="20"/>
              </w:rPr>
              <w:t>• In 2010 LSC</w:t>
            </w:r>
            <w:r w:rsidR="00B55B19" w:rsidRPr="00B55B19">
              <w:rPr>
                <w:rFonts w:ascii="Calibri" w:eastAsia="Times New Roman" w:hAnsi="Calibri" w:cs="Calibri"/>
                <w:color w:val="000000"/>
                <w:sz w:val="20"/>
                <w:szCs w:val="20"/>
              </w:rPr>
              <w:t xml:space="preserve"> launched new website that is kept current and features a news feed and social media which posts important WFL partner information.</w:t>
            </w:r>
            <w:r w:rsidRPr="00B55B19">
              <w:rPr>
                <w:rFonts w:ascii="Calibri" w:eastAsia="Times New Roman" w:hAnsi="Calibri" w:cs="Calibri"/>
                <w:color w:val="000000"/>
                <w:sz w:val="20"/>
                <w:szCs w:val="20"/>
              </w:rPr>
              <w:t xml:space="preserve"> </w:t>
            </w:r>
            <w:r w:rsidR="00B55B19" w:rsidRPr="00B55B19">
              <w:rPr>
                <w:rFonts w:ascii="Calibri" w:eastAsia="Times New Roman" w:hAnsi="Calibri" w:cs="Calibri"/>
                <w:color w:val="000000"/>
                <w:sz w:val="20"/>
                <w:szCs w:val="20"/>
              </w:rPr>
              <w:br/>
            </w:r>
            <w:r w:rsidR="00B55B19" w:rsidRPr="00B55B19">
              <w:rPr>
                <w:rFonts w:ascii="Calibri" w:eastAsia="Times New Roman" w:hAnsi="Calibri" w:cs="Calibri"/>
                <w:color w:val="000000"/>
                <w:sz w:val="20"/>
                <w:szCs w:val="20"/>
              </w:rPr>
              <w:br/>
              <w:t>WPACs: Individual WPAC Websites are being updated on a regular basis.  The www.AlbertaWPACs.ca website is now active and is updated monthly.</w:t>
            </w:r>
            <w:r w:rsidR="00B55B19" w:rsidRPr="00B55B19">
              <w:rPr>
                <w:rFonts w:ascii="Calibri" w:eastAsia="Times New Roman" w:hAnsi="Calibri" w:cs="Calibri"/>
                <w:color w:val="000000"/>
                <w:sz w:val="20"/>
                <w:szCs w:val="20"/>
              </w:rPr>
              <w:br/>
            </w:r>
            <w:r w:rsidR="00B55B19" w:rsidRPr="00B55B19">
              <w:rPr>
                <w:rFonts w:ascii="Calibri" w:eastAsia="Times New Roman" w:hAnsi="Calibri" w:cs="Calibri"/>
                <w:color w:val="000000"/>
                <w:sz w:val="20"/>
                <w:szCs w:val="20"/>
              </w:rPr>
              <w:br/>
              <w:t>AWC: A staff person is responsible for regularly updating the Council’s website. Update to the website occur a minimum of 3-times a year.</w:t>
            </w:r>
            <w:r w:rsidR="00B55B19" w:rsidRPr="00B55B19">
              <w:rPr>
                <w:rFonts w:ascii="Calibri" w:eastAsia="Times New Roman" w:hAnsi="Calibri" w:cs="Calibri"/>
                <w:color w:val="000000"/>
                <w:sz w:val="20"/>
                <w:szCs w:val="20"/>
              </w:rPr>
              <w:br/>
            </w:r>
            <w:r w:rsidR="00B55B19" w:rsidRPr="00B55B19">
              <w:rPr>
                <w:rFonts w:ascii="Calibri" w:eastAsia="Times New Roman" w:hAnsi="Calibri" w:cs="Calibri"/>
                <w:color w:val="000000"/>
                <w:sz w:val="20"/>
                <w:szCs w:val="20"/>
              </w:rPr>
              <w:br/>
              <w:t>GoA: AEW has staff assigned to the task of updating the WFL website.  Regular updates and information are posted as new information becomes available.</w:t>
            </w:r>
          </w:p>
        </w:tc>
      </w:tr>
      <w:tr w:rsidR="00B55B19" w:rsidRPr="00B55B19" w:rsidTr="00B55B19">
        <w:trPr>
          <w:trHeight w:val="3315"/>
        </w:trPr>
        <w:tc>
          <w:tcPr>
            <w:tcW w:w="751" w:type="dxa"/>
            <w:tcBorders>
              <w:top w:val="nil"/>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2</w:t>
            </w:r>
          </w:p>
        </w:tc>
        <w:tc>
          <w:tcPr>
            <w:tcW w:w="1152"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Biennially</w:t>
            </w:r>
          </w:p>
        </w:tc>
        <w:tc>
          <w:tcPr>
            <w:tcW w:w="4164"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The GOA coordinate with the partnerships to produce a biennial WFL implementation progress report in an appropriate format, and that these reports include, to the extent possible, all major contributions by governments, partnerships and sectors to the achievement of WFL. The GOA and its partners are also encouraged to report more frequently on their progress using a variety of means including web updates, verbal updates to the Alberta Water Council, etc. </w:t>
            </w:r>
          </w:p>
        </w:tc>
        <w:tc>
          <w:tcPr>
            <w:tcW w:w="1296"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307" w:type="dxa"/>
            <w:tcBorders>
              <w:top w:val="single" w:sz="4" w:space="0" w:color="auto"/>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The GOA reecntly released its WFL Progress Report (2008-2011) as a summation of actions and initiatives undertaken by the GOA as per the WFL Action Plan.</w:t>
            </w:r>
            <w:r w:rsidRPr="00B55B19">
              <w:rPr>
                <w:rFonts w:ascii="Calibri" w:eastAsia="Times New Roman" w:hAnsi="Calibri" w:cs="Calibri"/>
                <w:color w:val="000000"/>
                <w:sz w:val="20"/>
                <w:szCs w:val="20"/>
              </w:rPr>
              <w:br/>
              <w:t>• In the future, the GOA is looking to use the WFL website to provide regular updates and current information on GOA activities in support of WFL, rather than producing periodic progress reports.</w:t>
            </w:r>
            <w:r w:rsidRPr="00B55B19">
              <w:rPr>
                <w:rFonts w:ascii="Calibri" w:eastAsia="Times New Roman" w:hAnsi="Calibri" w:cs="Calibri"/>
                <w:color w:val="000000"/>
                <w:sz w:val="20"/>
                <w:szCs w:val="20"/>
              </w:rPr>
              <w:br/>
              <w:t>• Opportunity exists to expand the “Partnerships” page on the WFL website to also report on the contribution of these partnerships toward the achievement of WFL outcomes.</w:t>
            </w:r>
            <w:r w:rsidRPr="00B55B19">
              <w:rPr>
                <w:rFonts w:ascii="Calibri" w:eastAsia="Times New Roman" w:hAnsi="Calibri" w:cs="Calibri"/>
                <w:color w:val="000000"/>
                <w:sz w:val="20"/>
                <w:szCs w:val="20"/>
              </w:rPr>
              <w:br/>
              <w:t>• The GOA has also recently committed to providing a “WFL Implementation – GOA update” as a standing agenda item at AWC Board meetings.</w:t>
            </w:r>
          </w:p>
        </w:tc>
      </w:tr>
      <w:tr w:rsidR="00B55B19" w:rsidRPr="00B55B19" w:rsidTr="00B55B19">
        <w:trPr>
          <w:trHeight w:val="1785"/>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3</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Start by February 2012</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GOA work with the partnerships to develop and implement a marketing strategy to promote WFL and the work of its partnerships to a broad spectrum of sectors, stakeholders and the public (i.e., promote the partnership brand). This should be commenced within six months.</w:t>
            </w:r>
          </w:p>
        </w:tc>
        <w:tc>
          <w:tcPr>
            <w:tcW w:w="1296"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The GOA continues to enhance features of the WFL website so as to showcase the successes of WFL and promote the work of its partnerships.</w:t>
            </w:r>
            <w:r w:rsidRPr="00B55B19">
              <w:rPr>
                <w:rFonts w:ascii="Calibri" w:eastAsia="Times New Roman" w:hAnsi="Calibri" w:cs="Calibri"/>
                <w:color w:val="000000"/>
                <w:sz w:val="20"/>
                <w:szCs w:val="20"/>
              </w:rPr>
              <w:br/>
              <w:t>• Current focus is on developing tools and mechanisms to share information on WFL within the GOA as a means of further stimulating conversation and collaboration internally.</w:t>
            </w:r>
          </w:p>
        </w:tc>
      </w:tr>
      <w:tr w:rsidR="00B55B19" w:rsidRPr="00B55B19" w:rsidTr="00B55B19">
        <w:trPr>
          <w:trHeight w:val="1020"/>
        </w:trPr>
        <w:tc>
          <w:tcPr>
            <w:tcW w:w="751" w:type="dxa"/>
            <w:tcBorders>
              <w:top w:val="single" w:sz="4" w:space="0" w:color="auto"/>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lastRenderedPageBreak/>
              <w:t>MWA</w:t>
            </w:r>
          </w:p>
        </w:tc>
        <w:tc>
          <w:tcPr>
            <w:tcW w:w="581"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4</w:t>
            </w:r>
          </w:p>
        </w:tc>
        <w:tc>
          <w:tcPr>
            <w:tcW w:w="1152"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Biennially</w:t>
            </w:r>
          </w:p>
        </w:tc>
        <w:tc>
          <w:tcPr>
            <w:tcW w:w="4164"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The GOA and the partnerships starting in 2012 jointly discuss organization of a biennial “partnerships update and shared learnings” session. </w:t>
            </w:r>
          </w:p>
        </w:tc>
        <w:tc>
          <w:tcPr>
            <w:tcW w:w="1296"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single" w:sz="4" w:space="0" w:color="auto"/>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 Opportunity exists to expand the annual WPAC forum (R6) to incorporate updates and learnings from all WFL partnerships.</w:t>
            </w:r>
          </w:p>
        </w:tc>
      </w:tr>
      <w:tr w:rsidR="00B55B19" w:rsidRPr="00B55B19" w:rsidTr="00B55B19">
        <w:trPr>
          <w:trHeight w:val="4590"/>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5</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GoA/AWC/WPACs/ASN</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December 1, 2011</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Each partnership, within six months of approval of this report, direct the reader to a partnership page on their own website that provides links to the other WFL partnerships websites.</w:t>
            </w:r>
          </w:p>
        </w:tc>
        <w:tc>
          <w:tcPr>
            <w:tcW w:w="1296"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 </w:t>
            </w:r>
          </w:p>
        </w:tc>
        <w:tc>
          <w:tcPr>
            <w:tcW w:w="1295"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E43A7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ASN Program</w:t>
            </w:r>
            <w:proofErr w:type="gramStart"/>
            <w:r w:rsidRPr="00B55B19">
              <w:rPr>
                <w:rFonts w:ascii="Calibri" w:eastAsia="Times New Roman" w:hAnsi="Calibri" w:cs="Calibri"/>
                <w:color w:val="000000"/>
                <w:sz w:val="20"/>
                <w:szCs w:val="20"/>
              </w:rPr>
              <w:t>:</w:t>
            </w:r>
            <w:proofErr w:type="gramEnd"/>
            <w:r w:rsidRPr="00B55B19">
              <w:rPr>
                <w:rFonts w:ascii="Calibri" w:eastAsia="Times New Roman" w:hAnsi="Calibri" w:cs="Calibri"/>
                <w:color w:val="000000"/>
                <w:sz w:val="20"/>
                <w:szCs w:val="20"/>
              </w:rPr>
              <w:br/>
              <w:t xml:space="preserve">• </w:t>
            </w:r>
            <w:r w:rsidR="00E43A79" w:rsidRPr="00E43A79">
              <w:rPr>
                <w:rFonts w:ascii="Calibri" w:eastAsia="Times New Roman" w:hAnsi="Calibri" w:cs="Calibri"/>
                <w:color w:val="000000"/>
                <w:sz w:val="20"/>
                <w:szCs w:val="20"/>
                <w:highlight w:val="yellow"/>
              </w:rPr>
              <w:t>LSC in the process of developing a “Report to Stakeholders” which outlines key LSC activities and initiatives.  A component of this report is a listing of key partners, targeted launch fall 2012.</w:t>
            </w:r>
          </w:p>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ASN presence on LSCC website will feature WFL partnership links</w:t>
            </w:r>
            <w:r w:rsidRPr="00B55B19">
              <w:rPr>
                <w:rFonts w:ascii="Calibri" w:eastAsia="Times New Roman" w:hAnsi="Calibri" w:cs="Calibri"/>
                <w:color w:val="000000"/>
                <w:sz w:val="20"/>
                <w:szCs w:val="20"/>
              </w:rPr>
              <w:br/>
              <w:t>• ASN pages currently being developed to include WFL partnerships links, expected to launch in fall 2011.</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WPACs: WFL Partnership pages for the 11 WPACs are in process and we will provide links at the next update.</w:t>
            </w:r>
            <w:r w:rsidRPr="00B55B19">
              <w:rPr>
                <w:rFonts w:ascii="Calibri" w:eastAsia="Times New Roman" w:hAnsi="Calibri" w:cs="Calibri"/>
                <w:color w:val="000000"/>
                <w:sz w:val="20"/>
                <w:szCs w:val="20"/>
              </w:rPr>
              <w:br/>
            </w:r>
            <w:bookmarkStart w:id="0" w:name="_GoBack"/>
            <w:bookmarkEnd w:id="0"/>
            <w:r w:rsidRPr="00B55B19">
              <w:rPr>
                <w:rFonts w:ascii="Calibri" w:eastAsia="Times New Roman" w:hAnsi="Calibri" w:cs="Calibri"/>
                <w:color w:val="000000"/>
                <w:sz w:val="20"/>
                <w:szCs w:val="20"/>
              </w:rPr>
              <w:br/>
              <w:t>AWC:  The Council has a “Partnerships” page on its website with links to all WPACs and the ASN Program.</w:t>
            </w:r>
            <w:r w:rsidRPr="00B55B19">
              <w:rPr>
                <w:rFonts w:ascii="Calibri" w:eastAsia="Times New Roman" w:hAnsi="Calibri" w:cs="Calibri"/>
                <w:color w:val="000000"/>
                <w:sz w:val="20"/>
                <w:szCs w:val="20"/>
              </w:rPr>
              <w:br/>
              <w:t xml:space="preserve">http://www.awchome.ca/Partnerships/tabid/60/Default.aspx </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GoA: WFL website hosts a “Partnerships” page where WFL partnerships are described.  Further information provided on partnership-specific pages with links to the websites of AWC, individual WPACs, and ASN Stewardship Directory and LSCC ASN Program (as communication hub to WSGs).</w:t>
            </w:r>
          </w:p>
        </w:tc>
      </w:tr>
      <w:tr w:rsidR="00B55B19" w:rsidRPr="00B55B19" w:rsidTr="00B55B19">
        <w:trPr>
          <w:trHeight w:val="1785"/>
        </w:trPr>
        <w:tc>
          <w:tcPr>
            <w:tcW w:w="751" w:type="dxa"/>
            <w:tcBorders>
              <w:top w:val="nil"/>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6</w:t>
            </w:r>
          </w:p>
        </w:tc>
        <w:tc>
          <w:tcPr>
            <w:tcW w:w="1152"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Annually</w:t>
            </w:r>
          </w:p>
        </w:tc>
        <w:tc>
          <w:tcPr>
            <w:tcW w:w="4164"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GOA work with the partnerships to jointly develop a formal process for periodic meetings, starting with an initial meeting with focused representation to be held annually, for the purpose of identifying shared areas of concern, opportunities for collaboration and redundancies.</w:t>
            </w:r>
          </w:p>
        </w:tc>
        <w:tc>
          <w:tcPr>
            <w:tcW w:w="1296"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AEW/GOA typically hosts an annual WPAC spring forum to inform and update these partnerships on matters of interest to this partnership.  AEW investigating options to alter the format and expand the participation of WFL partnerships at this event so as to address this opportunity.</w:t>
            </w:r>
          </w:p>
        </w:tc>
      </w:tr>
      <w:tr w:rsidR="00B55B19" w:rsidRPr="00B55B19" w:rsidTr="00B55B19">
        <w:trPr>
          <w:trHeight w:val="1275"/>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7</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AWC</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February 1, 2012</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AWC work with the ASN and WSG community to develop, communicate and facilitate a formal process to solicit input from WSGs for the WFL Implementation Review process.</w:t>
            </w:r>
          </w:p>
        </w:tc>
        <w:tc>
          <w:tcPr>
            <w:tcW w:w="1296"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AWC and ASN signed an MOU, supported by the WSG community for the ASN to circulate the AWC sector survey to solicit WSG input and allow the ASN to synthesize the responses into a single response – ASN acts as the survey coordinator for WSG sector</w:t>
            </w:r>
          </w:p>
        </w:tc>
      </w:tr>
      <w:tr w:rsidR="00B55B19" w:rsidRPr="00B55B19" w:rsidTr="00B55B19">
        <w:trPr>
          <w:trHeight w:val="1530"/>
        </w:trPr>
        <w:tc>
          <w:tcPr>
            <w:tcW w:w="751" w:type="dxa"/>
            <w:tcBorders>
              <w:top w:val="nil"/>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8</w:t>
            </w:r>
          </w:p>
        </w:tc>
        <w:tc>
          <w:tcPr>
            <w:tcW w:w="1152"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AWC</w:t>
            </w:r>
          </w:p>
        </w:tc>
        <w:tc>
          <w:tcPr>
            <w:tcW w:w="1589"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February 1, 2012</w:t>
            </w:r>
          </w:p>
        </w:tc>
        <w:tc>
          <w:tcPr>
            <w:tcW w:w="4164"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The AWC inform its members, other WFL partnerships and other sectors and stakeholders about their processes for bringing issues forward within six months of approval of this report. </w:t>
            </w:r>
          </w:p>
        </w:tc>
        <w:tc>
          <w:tcPr>
            <w:tcW w:w="1296"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307" w:type="dxa"/>
            <w:tcBorders>
              <w:top w:val="nil"/>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24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Done, statement of opportunity process communicated to stakeholders via the AWC newsletter and the relevant documents are posted on the AWC website:</w:t>
            </w:r>
            <w:r w:rsidRPr="00B55B19">
              <w:rPr>
                <w:rFonts w:ascii="Calibri" w:eastAsia="Times New Roman" w:hAnsi="Calibri" w:cs="Calibri"/>
                <w:color w:val="000000"/>
                <w:sz w:val="20"/>
                <w:szCs w:val="20"/>
              </w:rPr>
              <w:br/>
            </w:r>
          </w:p>
        </w:tc>
      </w:tr>
      <w:tr w:rsidR="00B55B19" w:rsidRPr="00B55B19" w:rsidTr="00B55B19">
        <w:trPr>
          <w:trHeight w:val="3570"/>
        </w:trPr>
        <w:tc>
          <w:tcPr>
            <w:tcW w:w="751" w:type="dxa"/>
            <w:tcBorders>
              <w:top w:val="single" w:sz="4" w:space="0" w:color="auto"/>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lastRenderedPageBreak/>
              <w:t>MWA</w:t>
            </w:r>
          </w:p>
        </w:tc>
        <w:tc>
          <w:tcPr>
            <w:tcW w:w="581"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9</w:t>
            </w:r>
          </w:p>
        </w:tc>
        <w:tc>
          <w:tcPr>
            <w:tcW w:w="1152"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Annually</w:t>
            </w:r>
          </w:p>
        </w:tc>
        <w:tc>
          <w:tcPr>
            <w:tcW w:w="4164"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Any sector receiving recommendations from the AWC, WPACs and any other source, provide an annual update to its WFL partnerships indicating what policy recommendations it has received in the past and what action has been taken.</w:t>
            </w:r>
          </w:p>
        </w:tc>
        <w:tc>
          <w:tcPr>
            <w:tcW w:w="1296"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single" w:sz="4" w:space="0" w:color="auto"/>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single" w:sz="4" w:space="0" w:color="auto"/>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WPACs:</w:t>
            </w:r>
            <w:r w:rsidR="004334CE">
              <w:rPr>
                <w:rFonts w:ascii="Calibri" w:eastAsia="Times New Roman" w:hAnsi="Calibri" w:cs="Calibri"/>
                <w:color w:val="000000"/>
                <w:sz w:val="20"/>
                <w:szCs w:val="20"/>
              </w:rPr>
              <w:t xml:space="preserve"> </w:t>
            </w:r>
            <w:r w:rsidRPr="00B55B19">
              <w:rPr>
                <w:rFonts w:ascii="Calibri" w:eastAsia="Times New Roman" w:hAnsi="Calibri" w:cs="Calibri"/>
                <w:color w:val="000000"/>
                <w:sz w:val="20"/>
                <w:szCs w:val="20"/>
              </w:rPr>
              <w:t>Alberta WPACs are developing a recommendation to provide an annual update to its WFL partnerships.</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AWC:  The Council is developing a recommendation tracking process which will support its obligations to report annually on implementation progress of its recommendations.</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GOA:</w:t>
            </w:r>
            <w:r w:rsidRPr="00B55B19">
              <w:rPr>
                <w:rFonts w:ascii="Calibri" w:eastAsia="Times New Roman" w:hAnsi="Calibri" w:cs="Calibri"/>
                <w:color w:val="000000"/>
                <w:sz w:val="20"/>
                <w:szCs w:val="20"/>
              </w:rPr>
              <w:br/>
              <w:t>• GOA will participate in providing updates to the AWC ‘s proposed recommendation tracking process.</w:t>
            </w:r>
            <w:r w:rsidRPr="00B55B19">
              <w:rPr>
                <w:rFonts w:ascii="Calibri" w:eastAsia="Times New Roman" w:hAnsi="Calibri" w:cs="Calibri"/>
                <w:color w:val="000000"/>
                <w:sz w:val="20"/>
                <w:szCs w:val="20"/>
              </w:rPr>
              <w:br/>
              <w:t>• GOA response to WPAC's submitting watershed management plans for GOA endorsement will include response to recommendations.</w:t>
            </w:r>
          </w:p>
        </w:tc>
      </w:tr>
      <w:tr w:rsidR="00B55B19" w:rsidRPr="00B55B19" w:rsidTr="00B55B19">
        <w:trPr>
          <w:trHeight w:val="3315"/>
        </w:trPr>
        <w:tc>
          <w:tcPr>
            <w:tcW w:w="751" w:type="dxa"/>
            <w:tcBorders>
              <w:top w:val="nil"/>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10</w:t>
            </w:r>
          </w:p>
        </w:tc>
        <w:tc>
          <w:tcPr>
            <w:tcW w:w="1152"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GoA</w:t>
            </w:r>
          </w:p>
        </w:tc>
        <w:tc>
          <w:tcPr>
            <w:tcW w:w="1589"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Annually starting in 2012</w:t>
            </w:r>
          </w:p>
        </w:tc>
        <w:tc>
          <w:tcPr>
            <w:tcW w:w="4164"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The AWC, WPACs and WSGs annually (starting in 2012) communicate GOA responses to their recommendations to a broader sector audience of affected stakeholders by posting responses on their website and generally making them available upon request with the understanding that the other partnerships will also share this information with their memberships. </w:t>
            </w:r>
          </w:p>
        </w:tc>
        <w:tc>
          <w:tcPr>
            <w:tcW w:w="1296"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WSGs (ASN Program):</w:t>
            </w:r>
            <w:r w:rsidRPr="00B55B19">
              <w:rPr>
                <w:rFonts w:ascii="Calibri" w:eastAsia="Times New Roman" w:hAnsi="Calibri" w:cs="Calibri"/>
                <w:color w:val="000000"/>
                <w:sz w:val="20"/>
                <w:szCs w:val="20"/>
              </w:rPr>
              <w:br/>
              <w:t>• Process is under review as ASN/LSCC typically does not enter into policy recommendations.</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WPACs: Alberta WPACs is considering a dedicated webpage at www.AlbertaWPACs.ca to communicate GOA responses to WPAC recommendations.</w:t>
            </w:r>
            <w:r w:rsidRPr="00B55B19">
              <w:rPr>
                <w:rFonts w:ascii="Calibri" w:eastAsia="Times New Roman" w:hAnsi="Calibri" w:cs="Calibri"/>
                <w:color w:val="000000"/>
                <w:sz w:val="20"/>
                <w:szCs w:val="20"/>
              </w:rPr>
              <w:br/>
            </w:r>
            <w:r w:rsidRPr="00B55B19">
              <w:rPr>
                <w:rFonts w:ascii="Calibri" w:eastAsia="Times New Roman" w:hAnsi="Calibri" w:cs="Calibri"/>
                <w:color w:val="000000"/>
                <w:sz w:val="20"/>
                <w:szCs w:val="20"/>
              </w:rPr>
              <w:br/>
              <w:t>AWC:  Staff are developing a process to report GoA responses to their recommendations to a broader audience using their website and newsletter. Currently exploring options:</w:t>
            </w:r>
            <w:r w:rsidRPr="00B55B19">
              <w:rPr>
                <w:rFonts w:ascii="Calibri" w:eastAsia="Times New Roman" w:hAnsi="Calibri" w:cs="Calibri"/>
                <w:color w:val="000000"/>
                <w:sz w:val="20"/>
                <w:szCs w:val="20"/>
              </w:rPr>
              <w:br/>
              <w:t>• Dedicated page tracking all recommendations implementation progress</w:t>
            </w:r>
            <w:r w:rsidRPr="00B55B19">
              <w:rPr>
                <w:rFonts w:ascii="Calibri" w:eastAsia="Times New Roman" w:hAnsi="Calibri" w:cs="Calibri"/>
                <w:color w:val="000000"/>
                <w:sz w:val="20"/>
                <w:szCs w:val="20"/>
              </w:rPr>
              <w:br/>
              <w:t>• a dedicated implementation progress report for each project.</w:t>
            </w:r>
          </w:p>
        </w:tc>
      </w:tr>
      <w:tr w:rsidR="00B55B19" w:rsidRPr="00B55B19" w:rsidTr="00B55B19">
        <w:trPr>
          <w:trHeight w:val="765"/>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11</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WPACs</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August 1, 2012</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Each WPAC develops a mechanism within the next year to engage and seek input from the WSGs in their watershed.</w:t>
            </w:r>
          </w:p>
        </w:tc>
        <w:tc>
          <w:tcPr>
            <w:tcW w:w="1296"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WPACs are individually developing  procedures to ensure that WSGs in their watershed have a clear way to participate with them.</w:t>
            </w:r>
          </w:p>
        </w:tc>
      </w:tr>
      <w:tr w:rsidR="00B55B19" w:rsidRPr="00B55B19" w:rsidTr="00B55B19">
        <w:trPr>
          <w:trHeight w:val="1020"/>
        </w:trPr>
        <w:tc>
          <w:tcPr>
            <w:tcW w:w="751" w:type="dxa"/>
            <w:tcBorders>
              <w:top w:val="nil"/>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12</w:t>
            </w:r>
          </w:p>
        </w:tc>
        <w:tc>
          <w:tcPr>
            <w:tcW w:w="1152"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WPACs</w:t>
            </w:r>
          </w:p>
        </w:tc>
        <w:tc>
          <w:tcPr>
            <w:tcW w:w="1589"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February 1, 2013</w:t>
            </w:r>
          </w:p>
        </w:tc>
        <w:tc>
          <w:tcPr>
            <w:tcW w:w="4164"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WPACs collectively develop a process within the next 18 months to determine which issues are appropriate to take forward to the AWC for consideration.</w:t>
            </w:r>
          </w:p>
        </w:tc>
        <w:tc>
          <w:tcPr>
            <w:tcW w:w="1296"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Alberta WPACs have put this proposed process on the agenda for a coming meeting.</w:t>
            </w:r>
          </w:p>
        </w:tc>
      </w:tr>
      <w:tr w:rsidR="00B55B19" w:rsidRPr="00B55B19" w:rsidTr="00B55B19">
        <w:trPr>
          <w:trHeight w:val="1785"/>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13</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ASN/WSGs</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Annually</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ASN use its needs assessment process, annual workshop, or other mechanisms to provide a forum for discussion of WSG water issues, and to encourage WSGs to work with their WPAC on bringing these issues forward annually</w:t>
            </w:r>
          </w:p>
        </w:tc>
        <w:tc>
          <w:tcPr>
            <w:tcW w:w="1296"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 </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B55B19" w:rsidRPr="00B55B19" w:rsidRDefault="00B55B19" w:rsidP="003A1D31">
            <w:pPr>
              <w:spacing w:after="0" w:line="240" w:lineRule="auto"/>
              <w:rPr>
                <w:rFonts w:ascii="Calibri" w:eastAsia="Times New Roman" w:hAnsi="Calibri" w:cs="Calibri"/>
                <w:color w:val="000000"/>
                <w:sz w:val="20"/>
                <w:szCs w:val="20"/>
              </w:rPr>
            </w:pPr>
            <w:r w:rsidRPr="00E43A79">
              <w:rPr>
                <w:rFonts w:ascii="Calibri" w:eastAsia="Times New Roman" w:hAnsi="Calibri" w:cs="Calibri"/>
                <w:color w:val="000000"/>
                <w:sz w:val="20"/>
                <w:szCs w:val="20"/>
                <w:highlight w:val="yellow"/>
              </w:rPr>
              <w:t xml:space="preserve">ASN </w:t>
            </w:r>
            <w:r w:rsidR="004334CE" w:rsidRPr="00E43A79">
              <w:rPr>
                <w:rFonts w:ascii="Calibri" w:eastAsia="Times New Roman" w:hAnsi="Calibri" w:cs="Calibri"/>
                <w:color w:val="000000"/>
                <w:sz w:val="20"/>
                <w:szCs w:val="20"/>
                <w:highlight w:val="yellow"/>
              </w:rPr>
              <w:t>continues to enhance</w:t>
            </w:r>
            <w:r w:rsidRPr="00E43A79">
              <w:rPr>
                <w:rFonts w:ascii="Calibri" w:eastAsia="Times New Roman" w:hAnsi="Calibri" w:cs="Calibri"/>
                <w:color w:val="000000"/>
                <w:sz w:val="20"/>
                <w:szCs w:val="20"/>
                <w:highlight w:val="yellow"/>
              </w:rPr>
              <w:t xml:space="preserve"> its suite of services to provide access to information and to showcase the work of stewards.</w:t>
            </w:r>
            <w:r w:rsidRPr="00B55B19">
              <w:rPr>
                <w:rFonts w:ascii="Calibri" w:eastAsia="Times New Roman" w:hAnsi="Calibri" w:cs="Calibri"/>
                <w:color w:val="000000"/>
                <w:sz w:val="20"/>
                <w:szCs w:val="20"/>
              </w:rPr>
              <w:br/>
              <w:t>ASN completed a WSG Needs Assessment in spring 2011, and is planning workshops based on the outcomes. Workshops will be regional, and focus on building connections among WFL partners, government, industry, and other sectors to address local issues.</w:t>
            </w:r>
            <w:r w:rsidR="004334CE">
              <w:rPr>
                <w:rFonts w:ascii="Calibri" w:eastAsia="Times New Roman" w:hAnsi="Calibri" w:cs="Calibri"/>
                <w:color w:val="000000"/>
                <w:sz w:val="20"/>
                <w:szCs w:val="20"/>
              </w:rPr>
              <w:t xml:space="preserve"> </w:t>
            </w:r>
          </w:p>
        </w:tc>
      </w:tr>
      <w:tr w:rsidR="00B55B19" w:rsidRPr="00B55B19" w:rsidTr="00B55B19">
        <w:trPr>
          <w:trHeight w:val="5100"/>
        </w:trPr>
        <w:tc>
          <w:tcPr>
            <w:tcW w:w="751" w:type="dxa"/>
            <w:tcBorders>
              <w:top w:val="single" w:sz="4" w:space="0" w:color="auto"/>
              <w:left w:val="single" w:sz="4" w:space="0" w:color="auto"/>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lastRenderedPageBreak/>
              <w:t>MWA</w:t>
            </w:r>
          </w:p>
        </w:tc>
        <w:tc>
          <w:tcPr>
            <w:tcW w:w="581"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14</w:t>
            </w:r>
          </w:p>
        </w:tc>
        <w:tc>
          <w:tcPr>
            <w:tcW w:w="1152"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ASN/WSGs</w:t>
            </w:r>
          </w:p>
        </w:tc>
        <w:tc>
          <w:tcPr>
            <w:tcW w:w="1589"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Ongoing</w:t>
            </w:r>
          </w:p>
        </w:tc>
        <w:tc>
          <w:tcPr>
            <w:tcW w:w="4164"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The ASN continue to provide a portal for WSGs to access information on other partnership activities in Alberta and beyond, and that they continue to showcase to other partnerships and to the broader provincial and national stewardship community, the good work of Alberta’s stewardship groups and how it supports the achievement of WFL on an ongoing basis.</w:t>
            </w:r>
          </w:p>
        </w:tc>
        <w:tc>
          <w:tcPr>
            <w:tcW w:w="1296"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295"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 </w:t>
            </w:r>
          </w:p>
        </w:tc>
        <w:tc>
          <w:tcPr>
            <w:tcW w:w="1307" w:type="dxa"/>
            <w:tcBorders>
              <w:top w:val="single" w:sz="4" w:space="0" w:color="auto"/>
              <w:left w:val="nil"/>
              <w:bottom w:val="single" w:sz="4" w:space="0" w:color="auto"/>
              <w:right w:val="single" w:sz="4" w:space="0" w:color="auto"/>
            </w:tcBorders>
            <w:shd w:val="clear" w:color="000000" w:fill="B7DEE8"/>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single" w:sz="4" w:space="0" w:color="auto"/>
              <w:left w:val="nil"/>
              <w:bottom w:val="single" w:sz="4" w:space="0" w:color="auto"/>
              <w:right w:val="single" w:sz="4" w:space="0" w:color="auto"/>
            </w:tcBorders>
            <w:shd w:val="clear" w:color="000000" w:fill="B7DEE8"/>
            <w:hideMark/>
          </w:tcPr>
          <w:p w:rsidR="00B55B19" w:rsidRPr="00B55B19" w:rsidRDefault="00B55B19" w:rsidP="004334CE">
            <w:pPr>
              <w:spacing w:after="0" w:line="240" w:lineRule="auto"/>
              <w:rPr>
                <w:rFonts w:ascii="Calibri" w:eastAsia="Times New Roman" w:hAnsi="Calibri" w:cs="Calibri"/>
                <w:color w:val="000000"/>
                <w:sz w:val="20"/>
                <w:szCs w:val="20"/>
              </w:rPr>
            </w:pPr>
            <w:r w:rsidRPr="00E43A79">
              <w:rPr>
                <w:rFonts w:ascii="Calibri" w:eastAsia="Times New Roman" w:hAnsi="Calibri" w:cs="Calibri"/>
                <w:color w:val="000000"/>
                <w:sz w:val="20"/>
                <w:szCs w:val="20"/>
                <w:highlight w:val="yellow"/>
              </w:rPr>
              <w:t xml:space="preserve">ASN </w:t>
            </w:r>
            <w:r w:rsidR="004334CE" w:rsidRPr="00E43A79">
              <w:rPr>
                <w:rFonts w:ascii="Calibri" w:eastAsia="Times New Roman" w:hAnsi="Calibri" w:cs="Calibri"/>
                <w:color w:val="000000"/>
                <w:sz w:val="20"/>
                <w:szCs w:val="20"/>
                <w:highlight w:val="yellow"/>
              </w:rPr>
              <w:t>continues to enhance</w:t>
            </w:r>
            <w:r w:rsidRPr="00E43A79">
              <w:rPr>
                <w:rFonts w:ascii="Calibri" w:eastAsia="Times New Roman" w:hAnsi="Calibri" w:cs="Calibri"/>
                <w:color w:val="000000"/>
                <w:sz w:val="20"/>
                <w:szCs w:val="20"/>
                <w:highlight w:val="yellow"/>
              </w:rPr>
              <w:t xml:space="preserve"> its suite of services to provide access to information and to showcase the work of stewards. A variety of ASN tools are available to inform WSGs on partner activities: </w:t>
            </w:r>
            <w:r w:rsidRPr="00E43A79">
              <w:rPr>
                <w:rFonts w:ascii="Calibri" w:eastAsia="Times New Roman" w:hAnsi="Calibri" w:cs="Calibri"/>
                <w:color w:val="000000"/>
                <w:sz w:val="20"/>
                <w:szCs w:val="20"/>
                <w:highlight w:val="yellow"/>
              </w:rPr>
              <w:br/>
              <w:t xml:space="preserve">o </w:t>
            </w:r>
            <w:r w:rsidR="004334CE" w:rsidRPr="00E43A79">
              <w:rPr>
                <w:rFonts w:ascii="Calibri" w:eastAsia="Times New Roman" w:hAnsi="Calibri" w:cs="Calibri"/>
                <w:color w:val="000000"/>
                <w:sz w:val="20"/>
                <w:szCs w:val="20"/>
                <w:highlight w:val="yellow"/>
              </w:rPr>
              <w:t xml:space="preserve">Online </w:t>
            </w:r>
            <w:r w:rsidRPr="00E43A79">
              <w:rPr>
                <w:rFonts w:ascii="Calibri" w:eastAsia="Times New Roman" w:hAnsi="Calibri" w:cs="Calibri"/>
                <w:color w:val="000000"/>
                <w:sz w:val="20"/>
                <w:szCs w:val="20"/>
                <w:highlight w:val="yellow"/>
              </w:rPr>
              <w:t>resource</w:t>
            </w:r>
            <w:r w:rsidR="004334CE" w:rsidRPr="00E43A79">
              <w:rPr>
                <w:rFonts w:ascii="Calibri" w:eastAsia="Times New Roman" w:hAnsi="Calibri" w:cs="Calibri"/>
                <w:color w:val="000000"/>
                <w:sz w:val="20"/>
                <w:szCs w:val="20"/>
                <w:highlight w:val="yellow"/>
              </w:rPr>
              <w:t>s for stewards</w:t>
            </w:r>
            <w:r w:rsidRPr="00E43A79">
              <w:rPr>
                <w:rFonts w:ascii="Calibri" w:eastAsia="Times New Roman" w:hAnsi="Calibri" w:cs="Calibri"/>
                <w:color w:val="000000"/>
                <w:sz w:val="20"/>
                <w:szCs w:val="20"/>
                <w:highlight w:val="yellow"/>
              </w:rPr>
              <w:t xml:space="preserve"> pages </w:t>
            </w:r>
            <w:r w:rsidR="004334CE" w:rsidRPr="00E43A79">
              <w:rPr>
                <w:rFonts w:ascii="Calibri" w:eastAsia="Times New Roman" w:hAnsi="Calibri" w:cs="Calibri"/>
                <w:color w:val="000000"/>
                <w:sz w:val="20"/>
                <w:szCs w:val="20"/>
                <w:highlight w:val="yellow"/>
              </w:rPr>
              <w:t xml:space="preserve">share </w:t>
            </w:r>
            <w:r w:rsidRPr="00E43A79">
              <w:rPr>
                <w:rFonts w:ascii="Calibri" w:eastAsia="Times New Roman" w:hAnsi="Calibri" w:cs="Calibri"/>
                <w:color w:val="000000"/>
                <w:sz w:val="20"/>
                <w:szCs w:val="20"/>
                <w:highlight w:val="yellow"/>
              </w:rPr>
              <w:t>information</w:t>
            </w:r>
            <w:r w:rsidR="004334CE" w:rsidRPr="00E43A79">
              <w:rPr>
                <w:rFonts w:ascii="Calibri" w:eastAsia="Times New Roman" w:hAnsi="Calibri" w:cs="Calibri"/>
                <w:color w:val="000000"/>
                <w:sz w:val="20"/>
                <w:szCs w:val="20"/>
                <w:highlight w:val="yellow"/>
              </w:rPr>
              <w:t xml:space="preserve"> on key stewardship topics</w:t>
            </w:r>
            <w:r w:rsidRPr="00E43A79">
              <w:rPr>
                <w:rFonts w:ascii="Calibri" w:eastAsia="Times New Roman" w:hAnsi="Calibri" w:cs="Calibri"/>
                <w:color w:val="000000"/>
                <w:sz w:val="20"/>
                <w:szCs w:val="20"/>
                <w:highlight w:val="yellow"/>
              </w:rPr>
              <w:t xml:space="preserve">; </w:t>
            </w:r>
            <w:r w:rsidRPr="00E43A79">
              <w:rPr>
                <w:rFonts w:ascii="Calibri" w:eastAsia="Times New Roman" w:hAnsi="Calibri" w:cs="Calibri"/>
                <w:color w:val="000000"/>
                <w:sz w:val="20"/>
                <w:szCs w:val="20"/>
                <w:highlight w:val="yellow"/>
              </w:rPr>
              <w:br/>
              <w:t xml:space="preserve">o The ASN newsletter </w:t>
            </w:r>
            <w:r w:rsidR="004334CE" w:rsidRPr="00E43A79">
              <w:rPr>
                <w:rFonts w:ascii="Calibri" w:eastAsia="Times New Roman" w:hAnsi="Calibri" w:cs="Calibri"/>
                <w:color w:val="000000"/>
                <w:sz w:val="20"/>
                <w:szCs w:val="20"/>
                <w:highlight w:val="yellow"/>
              </w:rPr>
              <w:t xml:space="preserve">(5 per year) </w:t>
            </w:r>
            <w:r w:rsidRPr="00E43A79">
              <w:rPr>
                <w:rFonts w:ascii="Calibri" w:eastAsia="Times New Roman" w:hAnsi="Calibri" w:cs="Calibri"/>
                <w:color w:val="000000"/>
                <w:sz w:val="20"/>
                <w:szCs w:val="20"/>
                <w:highlight w:val="yellow"/>
              </w:rPr>
              <w:t>reach</w:t>
            </w:r>
            <w:r w:rsidR="004334CE" w:rsidRPr="00E43A79">
              <w:rPr>
                <w:rFonts w:ascii="Calibri" w:eastAsia="Times New Roman" w:hAnsi="Calibri" w:cs="Calibri"/>
                <w:color w:val="000000"/>
                <w:sz w:val="20"/>
                <w:szCs w:val="20"/>
                <w:highlight w:val="yellow"/>
              </w:rPr>
              <w:t>es</w:t>
            </w:r>
            <w:r w:rsidRPr="00E43A79">
              <w:rPr>
                <w:rFonts w:ascii="Calibri" w:eastAsia="Times New Roman" w:hAnsi="Calibri" w:cs="Calibri"/>
                <w:color w:val="000000"/>
                <w:sz w:val="20"/>
                <w:szCs w:val="20"/>
                <w:highlight w:val="yellow"/>
              </w:rPr>
              <w:t xml:space="preserve"> ~</w:t>
            </w:r>
            <w:r w:rsidR="004334CE" w:rsidRPr="00E43A79">
              <w:rPr>
                <w:rFonts w:ascii="Calibri" w:eastAsia="Times New Roman" w:hAnsi="Calibri" w:cs="Calibri"/>
                <w:color w:val="000000"/>
                <w:sz w:val="20"/>
                <w:szCs w:val="20"/>
                <w:highlight w:val="yellow"/>
              </w:rPr>
              <w:t>6</w:t>
            </w:r>
            <w:r w:rsidRPr="00E43A79">
              <w:rPr>
                <w:rFonts w:ascii="Calibri" w:eastAsia="Times New Roman" w:hAnsi="Calibri" w:cs="Calibri"/>
                <w:color w:val="000000"/>
                <w:sz w:val="20"/>
                <w:szCs w:val="20"/>
                <w:highlight w:val="yellow"/>
              </w:rPr>
              <w:t>00 individual stewards and feature</w:t>
            </w:r>
            <w:r w:rsidR="004334CE" w:rsidRPr="00E43A79">
              <w:rPr>
                <w:rFonts w:ascii="Calibri" w:eastAsia="Times New Roman" w:hAnsi="Calibri" w:cs="Calibri"/>
                <w:color w:val="000000"/>
                <w:sz w:val="20"/>
                <w:szCs w:val="20"/>
                <w:highlight w:val="yellow"/>
              </w:rPr>
              <w:t>s</w:t>
            </w:r>
            <w:r w:rsidRPr="00E43A79">
              <w:rPr>
                <w:rFonts w:ascii="Calibri" w:eastAsia="Times New Roman" w:hAnsi="Calibri" w:cs="Calibri"/>
                <w:color w:val="000000"/>
                <w:sz w:val="20"/>
                <w:szCs w:val="20"/>
                <w:highlight w:val="yellow"/>
              </w:rPr>
              <w:t xml:space="preserve"> important partner information, including success stories; </w:t>
            </w:r>
            <w:r w:rsidRPr="00E43A79">
              <w:rPr>
                <w:rFonts w:ascii="Calibri" w:eastAsia="Times New Roman" w:hAnsi="Calibri" w:cs="Calibri"/>
                <w:color w:val="000000"/>
                <w:sz w:val="20"/>
                <w:szCs w:val="20"/>
                <w:highlight w:val="yellow"/>
              </w:rPr>
              <w:br/>
              <w:t xml:space="preserve">o Active outreach initiatives including workshops, speaking engagements, and community events </w:t>
            </w:r>
            <w:r w:rsidR="004334CE" w:rsidRPr="00E43A79">
              <w:rPr>
                <w:rFonts w:ascii="Calibri" w:eastAsia="Times New Roman" w:hAnsi="Calibri" w:cs="Calibri"/>
                <w:color w:val="000000"/>
                <w:sz w:val="20"/>
                <w:szCs w:val="20"/>
                <w:highlight w:val="yellow"/>
              </w:rPr>
              <w:t xml:space="preserve">are </w:t>
            </w:r>
            <w:r w:rsidRPr="00E43A79">
              <w:rPr>
                <w:rFonts w:ascii="Calibri" w:eastAsia="Times New Roman" w:hAnsi="Calibri" w:cs="Calibri"/>
                <w:color w:val="000000"/>
                <w:sz w:val="20"/>
                <w:szCs w:val="20"/>
                <w:highlight w:val="yellow"/>
              </w:rPr>
              <w:t xml:space="preserve">used to share information; </w:t>
            </w:r>
            <w:r w:rsidRPr="00E43A79">
              <w:rPr>
                <w:rFonts w:ascii="Calibri" w:eastAsia="Times New Roman" w:hAnsi="Calibri" w:cs="Calibri"/>
                <w:color w:val="000000"/>
                <w:sz w:val="20"/>
                <w:szCs w:val="20"/>
                <w:highlight w:val="yellow"/>
              </w:rPr>
              <w:br/>
              <w:t xml:space="preserve">o </w:t>
            </w:r>
            <w:r w:rsidR="004334CE" w:rsidRPr="00E43A79">
              <w:rPr>
                <w:rFonts w:ascii="Calibri" w:eastAsia="Times New Roman" w:hAnsi="Calibri" w:cs="Calibri"/>
                <w:color w:val="000000"/>
                <w:sz w:val="20"/>
                <w:szCs w:val="20"/>
                <w:highlight w:val="yellow"/>
              </w:rPr>
              <w:t>U</w:t>
            </w:r>
            <w:r w:rsidRPr="00E43A79">
              <w:rPr>
                <w:rFonts w:ascii="Calibri" w:eastAsia="Times New Roman" w:hAnsi="Calibri" w:cs="Calibri"/>
                <w:color w:val="000000"/>
                <w:sz w:val="20"/>
                <w:szCs w:val="20"/>
                <w:highlight w:val="yellow"/>
              </w:rPr>
              <w:t>pdat</w:t>
            </w:r>
            <w:r w:rsidR="004334CE" w:rsidRPr="00E43A79">
              <w:rPr>
                <w:rFonts w:ascii="Calibri" w:eastAsia="Times New Roman" w:hAnsi="Calibri" w:cs="Calibri"/>
                <w:color w:val="000000"/>
                <w:sz w:val="20"/>
                <w:szCs w:val="20"/>
                <w:highlight w:val="yellow"/>
              </w:rPr>
              <w:t>ed</w:t>
            </w:r>
            <w:r w:rsidRPr="00E43A79">
              <w:rPr>
                <w:rFonts w:ascii="Calibri" w:eastAsia="Times New Roman" w:hAnsi="Calibri" w:cs="Calibri"/>
                <w:color w:val="000000"/>
                <w:sz w:val="20"/>
                <w:szCs w:val="20"/>
                <w:highlight w:val="yellow"/>
              </w:rPr>
              <w:t xml:space="preserve"> stewardship directory ensure</w:t>
            </w:r>
            <w:r w:rsidR="004334CE" w:rsidRPr="00E43A79">
              <w:rPr>
                <w:rFonts w:ascii="Calibri" w:eastAsia="Times New Roman" w:hAnsi="Calibri" w:cs="Calibri"/>
                <w:color w:val="000000"/>
                <w:sz w:val="20"/>
                <w:szCs w:val="20"/>
                <w:highlight w:val="yellow"/>
              </w:rPr>
              <w:t>s</w:t>
            </w:r>
            <w:r w:rsidRPr="00E43A79">
              <w:rPr>
                <w:rFonts w:ascii="Calibri" w:eastAsia="Times New Roman" w:hAnsi="Calibri" w:cs="Calibri"/>
                <w:color w:val="000000"/>
                <w:sz w:val="20"/>
                <w:szCs w:val="20"/>
                <w:highlight w:val="yellow"/>
              </w:rPr>
              <w:t xml:space="preserve"> access to whole stewardship community;</w:t>
            </w:r>
            <w:r w:rsidRPr="00E43A79">
              <w:rPr>
                <w:rFonts w:ascii="Calibri" w:eastAsia="Times New Roman" w:hAnsi="Calibri" w:cs="Calibri"/>
                <w:color w:val="000000"/>
                <w:sz w:val="20"/>
                <w:szCs w:val="20"/>
                <w:highlight w:val="yellow"/>
              </w:rPr>
              <w:br/>
              <w:t xml:space="preserve">o Helping to showcase stewardship activities by actively voicing the role of stewardship in partner working groups to create reports, plan events, and develop projects. </w:t>
            </w:r>
            <w:r w:rsidRPr="00E43A79">
              <w:rPr>
                <w:rFonts w:ascii="Calibri" w:eastAsia="Times New Roman" w:hAnsi="Calibri" w:cs="Calibri"/>
                <w:color w:val="000000"/>
                <w:sz w:val="20"/>
                <w:szCs w:val="20"/>
                <w:highlight w:val="yellow"/>
              </w:rPr>
              <w:br/>
              <w:t>o Compi</w:t>
            </w:r>
            <w:r w:rsidR="004334CE" w:rsidRPr="00E43A79">
              <w:rPr>
                <w:rFonts w:ascii="Calibri" w:eastAsia="Times New Roman" w:hAnsi="Calibri" w:cs="Calibri"/>
                <w:color w:val="000000"/>
                <w:sz w:val="20"/>
                <w:szCs w:val="20"/>
                <w:highlight w:val="yellow"/>
              </w:rPr>
              <w:t>led</w:t>
            </w:r>
            <w:r w:rsidRPr="00E43A79">
              <w:rPr>
                <w:rFonts w:ascii="Calibri" w:eastAsia="Times New Roman" w:hAnsi="Calibri" w:cs="Calibri"/>
                <w:color w:val="000000"/>
                <w:sz w:val="20"/>
                <w:szCs w:val="20"/>
                <w:highlight w:val="yellow"/>
              </w:rPr>
              <w:t xml:space="preserve"> project location data in order to map the impact of its WSG Grant program.</w:t>
            </w:r>
            <w:r w:rsidRPr="00B55B19">
              <w:rPr>
                <w:rFonts w:ascii="Calibri" w:eastAsia="Times New Roman" w:hAnsi="Calibri" w:cs="Calibri"/>
                <w:color w:val="000000"/>
                <w:sz w:val="20"/>
                <w:szCs w:val="20"/>
              </w:rPr>
              <w:t xml:space="preserve"> </w:t>
            </w:r>
          </w:p>
        </w:tc>
      </w:tr>
      <w:tr w:rsidR="00B55B19" w:rsidRPr="00B55B19" w:rsidTr="00B55B19">
        <w:trPr>
          <w:trHeight w:val="1530"/>
        </w:trPr>
        <w:tc>
          <w:tcPr>
            <w:tcW w:w="751" w:type="dxa"/>
            <w:tcBorders>
              <w:top w:val="nil"/>
              <w:left w:val="single" w:sz="4" w:space="0" w:color="auto"/>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MWA</w:t>
            </w:r>
          </w:p>
        </w:tc>
        <w:tc>
          <w:tcPr>
            <w:tcW w:w="581"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jc w:val="center"/>
              <w:rPr>
                <w:rFonts w:ascii="Calibri" w:eastAsia="Times New Roman" w:hAnsi="Calibri" w:cs="Calibri"/>
                <w:color w:val="000000"/>
                <w:sz w:val="20"/>
                <w:szCs w:val="20"/>
              </w:rPr>
            </w:pPr>
            <w:r w:rsidRPr="00B55B19">
              <w:rPr>
                <w:rFonts w:ascii="Calibri" w:eastAsia="Times New Roman" w:hAnsi="Calibri" w:cs="Calibri"/>
                <w:color w:val="000000"/>
                <w:sz w:val="20"/>
                <w:szCs w:val="20"/>
              </w:rPr>
              <w:t>15</w:t>
            </w:r>
          </w:p>
        </w:tc>
        <w:tc>
          <w:tcPr>
            <w:tcW w:w="1152"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16-Jun-11</w:t>
            </w:r>
          </w:p>
        </w:tc>
        <w:tc>
          <w:tcPr>
            <w:tcW w:w="1928"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AWC</w:t>
            </w:r>
          </w:p>
        </w:tc>
        <w:tc>
          <w:tcPr>
            <w:tcW w:w="1589"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December 1, 2011</w:t>
            </w:r>
          </w:p>
        </w:tc>
        <w:tc>
          <w:tcPr>
            <w:tcW w:w="4164" w:type="dxa"/>
            <w:tcBorders>
              <w:top w:val="nil"/>
              <w:left w:val="nil"/>
              <w:bottom w:val="single" w:sz="4" w:space="0" w:color="auto"/>
              <w:right w:val="single" w:sz="4" w:space="0" w:color="auto"/>
            </w:tcBorders>
            <w:shd w:val="clear" w:color="000000" w:fill="FFFFFF"/>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The AWC work with the ASN and the WSG community to develop a process within six months of report approval to select members to represent WSGs on AWC project teams, where appropriate. </w:t>
            </w:r>
          </w:p>
        </w:tc>
        <w:tc>
          <w:tcPr>
            <w:tcW w:w="1296" w:type="dxa"/>
            <w:tcBorders>
              <w:top w:val="nil"/>
              <w:left w:val="nil"/>
              <w:bottom w:val="single" w:sz="4" w:space="0" w:color="auto"/>
              <w:right w:val="single" w:sz="4" w:space="0" w:color="auto"/>
            </w:tcBorders>
            <w:shd w:val="clear" w:color="000000" w:fill="FFFFFF"/>
            <w:vAlign w:val="bottom"/>
            <w:hideMark/>
          </w:tcPr>
          <w:p w:rsidR="00B55B19" w:rsidRP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B55B19" w:rsidRPr="00B55B19" w:rsidRDefault="00B55B19" w:rsidP="00B55B19">
            <w:pPr>
              <w:spacing w:after="0" w:line="240" w:lineRule="auto"/>
              <w:jc w:val="center"/>
              <w:rPr>
                <w:rFonts w:ascii="Calibri" w:eastAsia="Times New Roman" w:hAnsi="Calibri" w:cs="Calibri"/>
                <w:color w:val="000000"/>
                <w:sz w:val="44"/>
                <w:szCs w:val="44"/>
              </w:rPr>
            </w:pPr>
            <w:r w:rsidRPr="00B55B19">
              <w:rPr>
                <w:rFonts w:ascii="Calibri" w:eastAsia="Times New Roman" w:hAnsi="Calibri" w:cs="Calibri"/>
                <w:color w:val="000000"/>
                <w:sz w:val="44"/>
                <w:szCs w:val="44"/>
              </w:rPr>
              <w:t>●</w:t>
            </w:r>
          </w:p>
        </w:tc>
        <w:tc>
          <w:tcPr>
            <w:tcW w:w="1307" w:type="dxa"/>
            <w:tcBorders>
              <w:top w:val="nil"/>
              <w:left w:val="nil"/>
              <w:bottom w:val="single" w:sz="4" w:space="0" w:color="auto"/>
              <w:right w:val="single" w:sz="4" w:space="0" w:color="auto"/>
            </w:tcBorders>
            <w:shd w:val="clear" w:color="auto" w:fill="auto"/>
            <w:noWrap/>
            <w:vAlign w:val="bottom"/>
            <w:hideMark/>
          </w:tcPr>
          <w:p w:rsidR="00B55B19" w:rsidRPr="00B55B19" w:rsidRDefault="00B55B19" w:rsidP="00B55B19">
            <w:pPr>
              <w:spacing w:after="0" w:line="240" w:lineRule="auto"/>
              <w:rPr>
                <w:rFonts w:ascii="Calibri" w:eastAsia="Times New Roman" w:hAnsi="Calibri" w:cs="Calibri"/>
                <w:color w:val="000000"/>
              </w:rPr>
            </w:pPr>
            <w:r w:rsidRPr="00B55B19">
              <w:rPr>
                <w:rFonts w:ascii="Calibri" w:eastAsia="Times New Roman" w:hAnsi="Calibri" w:cs="Calibri"/>
                <w:color w:val="000000"/>
              </w:rPr>
              <w:t> </w:t>
            </w:r>
          </w:p>
        </w:tc>
        <w:tc>
          <w:tcPr>
            <w:tcW w:w="7017" w:type="dxa"/>
            <w:tcBorders>
              <w:top w:val="nil"/>
              <w:left w:val="nil"/>
              <w:bottom w:val="single" w:sz="4" w:space="0" w:color="auto"/>
              <w:right w:val="single" w:sz="4" w:space="0" w:color="auto"/>
            </w:tcBorders>
            <w:shd w:val="clear" w:color="000000" w:fill="FFFFFF"/>
            <w:hideMark/>
          </w:tcPr>
          <w:p w:rsidR="00B55B19" w:rsidRDefault="00B55B19" w:rsidP="00B55B19">
            <w:pPr>
              <w:spacing w:after="0" w:line="240" w:lineRule="auto"/>
              <w:rPr>
                <w:rFonts w:ascii="Calibri" w:eastAsia="Times New Roman" w:hAnsi="Calibri" w:cs="Calibri"/>
                <w:color w:val="000000"/>
                <w:sz w:val="20"/>
                <w:szCs w:val="20"/>
              </w:rPr>
            </w:pPr>
            <w:r w:rsidRPr="00B55B19">
              <w:rPr>
                <w:rFonts w:ascii="Calibri" w:eastAsia="Times New Roman" w:hAnsi="Calibri" w:cs="Calibri"/>
                <w:color w:val="000000"/>
                <w:sz w:val="20"/>
                <w:szCs w:val="20"/>
              </w:rPr>
              <w:t xml:space="preserve">AWC and ASN have signed an MOU, supported by the WSG community for the ASN to act as the portal to put out a call for delegates from the WSG community. </w:t>
            </w:r>
            <w:r w:rsidRPr="00B55B19">
              <w:rPr>
                <w:rFonts w:ascii="Calibri" w:eastAsia="Times New Roman" w:hAnsi="Calibri" w:cs="Calibri"/>
                <w:color w:val="000000"/>
                <w:sz w:val="20"/>
                <w:szCs w:val="20"/>
              </w:rPr>
              <w:br/>
              <w:t>AWC and ASN will develop a process for selecting representative(s) from WSG community.</w:t>
            </w:r>
          </w:p>
          <w:p w:rsidR="004334CE" w:rsidRPr="00B55B19" w:rsidRDefault="004334CE" w:rsidP="00B55B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 2011, ASN used extensive contact list to facilitate direct survey of WSGs on WFL implementation progress.</w:t>
            </w:r>
          </w:p>
        </w:tc>
      </w:tr>
    </w:tbl>
    <w:p w:rsidR="005E72BD" w:rsidRDefault="005E72BD"/>
    <w:sectPr w:rsidR="005E72BD" w:rsidSect="00B55B19">
      <w:pgSz w:w="2448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19"/>
    <w:rsid w:val="00357C36"/>
    <w:rsid w:val="003A1D31"/>
    <w:rsid w:val="004334CE"/>
    <w:rsid w:val="005E72BD"/>
    <w:rsid w:val="00616323"/>
    <w:rsid w:val="006E0BAF"/>
    <w:rsid w:val="00A250AE"/>
    <w:rsid w:val="00B55B19"/>
    <w:rsid w:val="00D533D7"/>
    <w:rsid w:val="00E43A79"/>
    <w:rsid w:val="00F3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Alberta Water Counicl</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Asselin</dc:creator>
  <cp:lastModifiedBy>Andre Asselin</cp:lastModifiedBy>
  <cp:revision>3</cp:revision>
  <dcterms:created xsi:type="dcterms:W3CDTF">2012-10-03T19:54:00Z</dcterms:created>
  <dcterms:modified xsi:type="dcterms:W3CDTF">2012-10-03T21:32:00Z</dcterms:modified>
</cp:coreProperties>
</file>